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0F9" w:rsidRDefault="001F3712" w:rsidP="00ED60F9">
      <w:pPr>
        <w:ind w:left="-990" w:right="-1080"/>
        <w:jc w:val="left"/>
        <w:rPr>
          <w:b/>
          <w:sz w:val="84"/>
          <w:szCs w:val="84"/>
        </w:rPr>
      </w:pPr>
      <w:r w:rsidRPr="00ED60F9">
        <w:rPr>
          <w:b/>
          <w:sz w:val="84"/>
          <w:szCs w:val="84"/>
        </w:rPr>
        <w:t xml:space="preserve">Housing and </w:t>
      </w:r>
      <w:r w:rsidR="00C24EF9" w:rsidRPr="00ED60F9">
        <w:rPr>
          <w:b/>
          <w:sz w:val="84"/>
          <w:szCs w:val="84"/>
        </w:rPr>
        <w:t>Demographics</w:t>
      </w:r>
    </w:p>
    <w:p w:rsidR="00ED60F9" w:rsidRPr="00FB3030" w:rsidRDefault="00B01C2F" w:rsidP="00ED60F9">
      <w:pPr>
        <w:ind w:left="-990" w:right="-1080"/>
        <w:jc w:val="left"/>
        <w:rPr>
          <w:i/>
          <w:color w:val="FF0000"/>
          <w:sz w:val="40"/>
          <w:szCs w:val="40"/>
        </w:rPr>
      </w:pPr>
      <w:r>
        <w:rPr>
          <w:noProof/>
          <w:sz w:val="40"/>
          <w:szCs w:val="40"/>
        </w:rPr>
        <w:drawing>
          <wp:anchor distT="0" distB="0" distL="114300" distR="114300" simplePos="0" relativeHeight="251713536" behindDoc="0" locked="0" layoutInCell="1" allowOverlap="1">
            <wp:simplePos x="0" y="0"/>
            <wp:positionH relativeFrom="column">
              <wp:posOffset>-930166</wp:posOffset>
            </wp:positionH>
            <wp:positionV relativeFrom="paragraph">
              <wp:posOffset>2069312</wp:posOffset>
            </wp:positionV>
            <wp:extent cx="7761515" cy="5170715"/>
            <wp:effectExtent l="0" t="0" r="0" b="0"/>
            <wp:wrapNone/>
            <wp:docPr id="6" name="Picture 6" descr="http://files.usmre.com/4686/Newmarket%20-%20Down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files.usmre.com/4686/Newmarket%20-%20Downtown.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1515" cy="5170715"/>
                    </a:xfrm>
                    <a:prstGeom prst="rect">
                      <a:avLst/>
                    </a:prstGeom>
                    <a:noFill/>
                    <a:ln>
                      <a:noFill/>
                    </a:ln>
                    <a:effectLst>
                      <a:softEdge rad="317500"/>
                    </a:effectLst>
                  </pic:spPr>
                </pic:pic>
              </a:graphicData>
            </a:graphic>
          </wp:anchor>
        </w:drawing>
      </w:r>
      <w:r w:rsidR="00ED60F9" w:rsidRPr="00ED60F9">
        <w:rPr>
          <w:sz w:val="40"/>
          <w:szCs w:val="40"/>
        </w:rPr>
        <w:t>Town of Newmarket Master Plan</w:t>
      </w:r>
    </w:p>
    <w:p w:rsidR="00AF0742" w:rsidRPr="00546909" w:rsidRDefault="00B01C2F" w:rsidP="00AF0742">
      <w:pPr>
        <w:rPr>
          <w:sz w:val="18"/>
          <w:szCs w:val="18"/>
        </w:rPr>
        <w:sectPr w:rsidR="00AF0742" w:rsidRPr="00546909" w:rsidSect="000D2F59">
          <w:headerReference w:type="default" r:id="rId10"/>
          <w:footerReference w:type="default" r:id="rId11"/>
          <w:pgSz w:w="12240" w:h="15840" w:code="1"/>
          <w:pgMar w:top="1440" w:right="1440" w:bottom="547" w:left="1440" w:header="720" w:footer="720" w:gutter="0"/>
          <w:cols w:space="720"/>
          <w:vAlign w:val="center"/>
          <w:titlePg/>
          <w:docGrid w:linePitch="360"/>
        </w:sectPr>
      </w:pPr>
      <w:r>
        <w:rPr>
          <w:noProof/>
        </w:rPr>
        <mc:AlternateContent>
          <mc:Choice Requires="wps">
            <w:drawing>
              <wp:anchor distT="0" distB="0" distL="114300" distR="114300" simplePos="0" relativeHeight="251715584" behindDoc="0" locked="0" layoutInCell="1" allowOverlap="1" wp14:anchorId="4FD9EA07" wp14:editId="75F3EAB4">
                <wp:simplePos x="0" y="0"/>
                <wp:positionH relativeFrom="column">
                  <wp:posOffset>3042285</wp:posOffset>
                </wp:positionH>
                <wp:positionV relativeFrom="paragraph">
                  <wp:posOffset>6532880</wp:posOffset>
                </wp:positionV>
                <wp:extent cx="3469005" cy="22034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220345"/>
                        </a:xfrm>
                        <a:prstGeom prst="rect">
                          <a:avLst/>
                        </a:prstGeom>
                        <a:noFill/>
                        <a:ln w="9525">
                          <a:noFill/>
                          <a:miter lim="800000"/>
                          <a:headEnd/>
                          <a:tailEnd/>
                        </a:ln>
                      </wps:spPr>
                      <wps:txbx>
                        <w:txbxContent>
                          <w:p w:rsidR="009A5582" w:rsidRPr="00F04A9F" w:rsidRDefault="009A5582" w:rsidP="00B01C2F">
                            <w:pPr>
                              <w:rPr>
                                <w:sz w:val="16"/>
                                <w:szCs w:val="16"/>
                              </w:rPr>
                            </w:pPr>
                            <w:r>
                              <w:rPr>
                                <w:sz w:val="16"/>
                                <w:szCs w:val="16"/>
                              </w:rPr>
                              <w:t>Newmarket Mills/Downtown</w:t>
                            </w:r>
                            <w:r>
                              <w:rPr>
                                <w:sz w:val="16"/>
                                <w:szCs w:val="16"/>
                              </w:rPr>
                              <w:tab/>
                              <w:t>Source: Town of Newmarket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9.55pt;margin-top:514.4pt;width:273.15pt;height:1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" filled="f" stroked="f">
                <v:textbox>
                  <w:txbxContent>
                    <w:p w:rsidR="009A5582" w:rsidRPr="00F04A9F" w:rsidRDefault="009A5582" w:rsidP="00B01C2F">
                      <w:pPr>
                        <w:rPr>
                          <w:sz w:val="16"/>
                          <w:szCs w:val="16"/>
                        </w:rPr>
                      </w:pPr>
                      <w:r>
                        <w:rPr>
                          <w:sz w:val="16"/>
                          <w:szCs w:val="16"/>
                        </w:rPr>
                        <w:t>Newmarket Mills/Downtown</w:t>
                      </w:r>
                      <w:r>
                        <w:rPr>
                          <w:sz w:val="16"/>
                          <w:szCs w:val="16"/>
                        </w:rPr>
                        <w:tab/>
                        <w:t>Source: Town of Newmarket</w:t>
                      </w:r>
                    </w:p>
                  </w:txbxContent>
                </v:textbox>
              </v:shape>
            </w:pict>
          </mc:Fallback>
        </mc:AlternateContent>
      </w: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pPr>
    </w:p>
    <w:p w:rsidR="00634C34" w:rsidRDefault="00634C34">
      <w:pPr>
        <w:pStyle w:val="TOC1"/>
        <w:rPr>
          <w:sz w:val="18"/>
          <w:szCs w:val="18"/>
        </w:rPr>
        <w:sectPr w:rsidR="00634C34" w:rsidSect="00AE456A">
          <w:pgSz w:w="12240" w:h="15840"/>
          <w:pgMar w:top="1440" w:right="1440" w:bottom="1440" w:left="1440" w:header="180" w:footer="720" w:gutter="0"/>
          <w:cols w:space="720"/>
          <w:docGrid w:linePitch="360"/>
        </w:sectPr>
      </w:pPr>
    </w:p>
    <w:p w:rsidR="00677337" w:rsidRPr="00634C34" w:rsidRDefault="00970E26">
      <w:pPr>
        <w:pStyle w:val="TOC1"/>
      </w:pPr>
      <w:r w:rsidRPr="00970E26">
        <w:rPr>
          <w:sz w:val="28"/>
          <w:szCs w:val="28"/>
        </w:rPr>
        <w:lastRenderedPageBreak/>
        <mc:AlternateContent>
          <mc:Choice Requires="wps">
            <w:drawing>
              <wp:anchor distT="0" distB="0" distL="114300" distR="114300" simplePos="0" relativeHeight="251691008" behindDoc="0" locked="0" layoutInCell="1" allowOverlap="1" wp14:anchorId="23B84082" wp14:editId="6E8F7717">
                <wp:simplePos x="0" y="0"/>
                <wp:positionH relativeFrom="column">
                  <wp:posOffset>-914400</wp:posOffset>
                </wp:positionH>
                <wp:positionV relativeFrom="paragraph">
                  <wp:posOffset>-76200</wp:posOffset>
                </wp:positionV>
                <wp:extent cx="914400" cy="34163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16300"/>
                        </a:xfrm>
                        <a:prstGeom prst="rect">
                          <a:avLst/>
                        </a:prstGeom>
                        <a:noFill/>
                        <a:ln w="9525">
                          <a:noFill/>
                          <a:miter lim="800000"/>
                          <a:headEnd/>
                          <a:tailEnd/>
                        </a:ln>
                      </wps:spPr>
                      <wps:txbx>
                        <w:txbxContent>
                          <w:p w:rsidR="009A5582" w:rsidRPr="00970E26" w:rsidRDefault="009A5582">
                            <w:pPr>
                              <w:rPr>
                                <w:sz w:val="60"/>
                                <w:szCs w:val="60"/>
                              </w:rPr>
                            </w:pPr>
                            <w:r w:rsidRPr="00970E26">
                              <w:rPr>
                                <w:sz w:val="60"/>
                                <w:szCs w:val="60"/>
                              </w:rPr>
                              <w:t>Table of Contents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in;margin-top:-6pt;width:1in;height:2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" filled="f" stroked="f">
                <v:textbox style="layout-flow:vertical;mso-layout-flow-alt:bottom-to-top">
                  <w:txbxContent>
                    <w:p w:rsidR="009A5582" w:rsidRPr="00970E26" w:rsidRDefault="009A5582">
                      <w:pPr>
                        <w:rPr>
                          <w:sz w:val="60"/>
                          <w:szCs w:val="60"/>
                        </w:rPr>
                      </w:pPr>
                      <w:r w:rsidRPr="00970E26">
                        <w:rPr>
                          <w:sz w:val="60"/>
                          <w:szCs w:val="60"/>
                        </w:rPr>
                        <w:t>Table of Contents</w:t>
                      </w:r>
                    </w:p>
                  </w:txbxContent>
                </v:textbox>
              </v:shape>
            </w:pict>
          </mc:Fallback>
        </mc:AlternateContent>
      </w:r>
      <w:r w:rsidR="00CC1D32" w:rsidRPr="00546909">
        <w:rPr>
          <w:sz w:val="18"/>
          <w:szCs w:val="18"/>
        </w:rPr>
        <w:fldChar w:fldCharType="begin"/>
      </w:r>
      <w:r w:rsidR="00CC1D32" w:rsidRPr="00546909">
        <w:rPr>
          <w:sz w:val="18"/>
          <w:szCs w:val="18"/>
        </w:rPr>
        <w:instrText xml:space="preserve"> TOC \o "1-2" \h \z \u </w:instrText>
      </w:r>
      <w:r w:rsidR="00CC1D32" w:rsidRPr="00546909">
        <w:rPr>
          <w:sz w:val="18"/>
          <w:szCs w:val="18"/>
        </w:rPr>
        <w:fldChar w:fldCharType="separate"/>
      </w:r>
      <w:hyperlink w:anchor="_Toc427316488" w:history="1">
        <w:r w:rsidR="00677337" w:rsidRPr="00DC6312">
          <w:rPr>
            <w:rStyle w:val="Hyperlink"/>
          </w:rPr>
          <w:t>Introduction</w:t>
        </w:r>
        <w:r w:rsidR="00677337">
          <w:rPr>
            <w:webHidden/>
          </w:rPr>
          <w:tab/>
        </w:r>
        <w:r w:rsidR="00677337">
          <w:rPr>
            <w:webHidden/>
          </w:rPr>
          <w:fldChar w:fldCharType="begin"/>
        </w:r>
        <w:r w:rsidR="00677337">
          <w:rPr>
            <w:webHidden/>
          </w:rPr>
          <w:instrText xml:space="preserve"> PAGEREF _Toc427316488 \h </w:instrText>
        </w:r>
        <w:r w:rsidR="00677337">
          <w:rPr>
            <w:webHidden/>
          </w:rPr>
        </w:r>
        <w:r w:rsidR="00677337">
          <w:rPr>
            <w:webHidden/>
          </w:rPr>
          <w:fldChar w:fldCharType="separate"/>
        </w:r>
        <w:r w:rsidR="00003E46">
          <w:rPr>
            <w:webHidden/>
          </w:rPr>
          <w:t>4</w:t>
        </w:r>
        <w:r w:rsidR="00677337">
          <w:rPr>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89" w:history="1">
        <w:r w:rsidR="00677337" w:rsidRPr="00DC6312">
          <w:rPr>
            <w:rStyle w:val="Hyperlink"/>
            <w:noProof/>
          </w:rPr>
          <w:t>Geographic Definitions</w:t>
        </w:r>
        <w:r w:rsidR="00677337">
          <w:rPr>
            <w:noProof/>
            <w:webHidden/>
          </w:rPr>
          <w:tab/>
        </w:r>
        <w:r w:rsidR="00677337">
          <w:rPr>
            <w:noProof/>
            <w:webHidden/>
          </w:rPr>
          <w:fldChar w:fldCharType="begin"/>
        </w:r>
        <w:r w:rsidR="00677337">
          <w:rPr>
            <w:noProof/>
            <w:webHidden/>
          </w:rPr>
          <w:instrText xml:space="preserve"> PAGEREF _Toc427316489 \h </w:instrText>
        </w:r>
        <w:r w:rsidR="00677337">
          <w:rPr>
            <w:noProof/>
            <w:webHidden/>
          </w:rPr>
        </w:r>
        <w:r w:rsidR="00677337">
          <w:rPr>
            <w:noProof/>
            <w:webHidden/>
          </w:rPr>
          <w:fldChar w:fldCharType="separate"/>
        </w:r>
        <w:r w:rsidR="00003E46">
          <w:rPr>
            <w:noProof/>
            <w:webHidden/>
          </w:rPr>
          <w:t>4</w:t>
        </w:r>
        <w:r w:rsidR="00677337">
          <w:rPr>
            <w:noProof/>
            <w:webHidden/>
          </w:rPr>
          <w:fldChar w:fldCharType="end"/>
        </w:r>
      </w:hyperlink>
    </w:p>
    <w:p w:rsidR="00677337" w:rsidRDefault="00563955">
      <w:pPr>
        <w:pStyle w:val="TOC1"/>
        <w:rPr>
          <w:rFonts w:asciiTheme="minorHAnsi" w:eastAsiaTheme="minorEastAsia" w:hAnsiTheme="minorHAnsi"/>
          <w:sz w:val="22"/>
          <w:szCs w:val="22"/>
        </w:rPr>
      </w:pPr>
      <w:hyperlink w:anchor="_Toc427316490" w:history="1">
        <w:r w:rsidR="00677337" w:rsidRPr="00DC6312">
          <w:rPr>
            <w:rStyle w:val="Hyperlink"/>
          </w:rPr>
          <w:t>Population Characteristics</w:t>
        </w:r>
        <w:r w:rsidR="00677337">
          <w:rPr>
            <w:webHidden/>
          </w:rPr>
          <w:tab/>
        </w:r>
        <w:r w:rsidR="00677337">
          <w:rPr>
            <w:webHidden/>
          </w:rPr>
          <w:fldChar w:fldCharType="begin"/>
        </w:r>
        <w:r w:rsidR="00677337">
          <w:rPr>
            <w:webHidden/>
          </w:rPr>
          <w:instrText xml:space="preserve"> PAGEREF _Toc427316490 \h </w:instrText>
        </w:r>
        <w:r w:rsidR="00677337">
          <w:rPr>
            <w:webHidden/>
          </w:rPr>
        </w:r>
        <w:r w:rsidR="00677337">
          <w:rPr>
            <w:webHidden/>
          </w:rPr>
          <w:fldChar w:fldCharType="separate"/>
        </w:r>
        <w:r w:rsidR="00003E46">
          <w:rPr>
            <w:webHidden/>
          </w:rPr>
          <w:t>5</w:t>
        </w:r>
        <w:r w:rsidR="00677337">
          <w:rPr>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1" w:history="1">
        <w:r w:rsidR="00677337" w:rsidRPr="00DC6312">
          <w:rPr>
            <w:rStyle w:val="Hyperlink"/>
            <w:noProof/>
          </w:rPr>
          <w:t>Historic Population</w:t>
        </w:r>
        <w:r w:rsidR="00677337">
          <w:rPr>
            <w:noProof/>
            <w:webHidden/>
          </w:rPr>
          <w:tab/>
        </w:r>
        <w:r w:rsidR="00677337">
          <w:rPr>
            <w:noProof/>
            <w:webHidden/>
          </w:rPr>
          <w:fldChar w:fldCharType="begin"/>
        </w:r>
        <w:r w:rsidR="00677337">
          <w:rPr>
            <w:noProof/>
            <w:webHidden/>
          </w:rPr>
          <w:instrText xml:space="preserve"> PAGEREF _Toc427316491 \h </w:instrText>
        </w:r>
        <w:r w:rsidR="00677337">
          <w:rPr>
            <w:noProof/>
            <w:webHidden/>
          </w:rPr>
        </w:r>
        <w:r w:rsidR="00677337">
          <w:rPr>
            <w:noProof/>
            <w:webHidden/>
          </w:rPr>
          <w:fldChar w:fldCharType="separate"/>
        </w:r>
        <w:r w:rsidR="00003E46">
          <w:rPr>
            <w:noProof/>
            <w:webHidden/>
          </w:rPr>
          <w:t>5</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2" w:history="1">
        <w:r w:rsidR="00677337" w:rsidRPr="00DC6312">
          <w:rPr>
            <w:rStyle w:val="Hyperlink"/>
            <w:noProof/>
          </w:rPr>
          <w:t>Population Projections</w:t>
        </w:r>
        <w:r w:rsidR="00677337">
          <w:rPr>
            <w:noProof/>
            <w:webHidden/>
          </w:rPr>
          <w:tab/>
        </w:r>
        <w:r w:rsidR="00677337">
          <w:rPr>
            <w:noProof/>
            <w:webHidden/>
          </w:rPr>
          <w:fldChar w:fldCharType="begin"/>
        </w:r>
        <w:r w:rsidR="00677337">
          <w:rPr>
            <w:noProof/>
            <w:webHidden/>
          </w:rPr>
          <w:instrText xml:space="preserve"> PAGEREF _Toc427316492 \h </w:instrText>
        </w:r>
        <w:r w:rsidR="00677337">
          <w:rPr>
            <w:noProof/>
            <w:webHidden/>
          </w:rPr>
        </w:r>
        <w:r w:rsidR="00677337">
          <w:rPr>
            <w:noProof/>
            <w:webHidden/>
          </w:rPr>
          <w:fldChar w:fldCharType="separate"/>
        </w:r>
        <w:r w:rsidR="00003E46">
          <w:rPr>
            <w:noProof/>
            <w:webHidden/>
          </w:rPr>
          <w:t>6</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3" w:history="1">
        <w:r w:rsidR="00677337" w:rsidRPr="00DC6312">
          <w:rPr>
            <w:rStyle w:val="Hyperlink"/>
            <w:noProof/>
          </w:rPr>
          <w:t>Age Cohorts</w:t>
        </w:r>
        <w:r w:rsidR="00677337">
          <w:rPr>
            <w:noProof/>
            <w:webHidden/>
          </w:rPr>
          <w:tab/>
        </w:r>
        <w:r w:rsidR="00677337">
          <w:rPr>
            <w:noProof/>
            <w:webHidden/>
          </w:rPr>
          <w:fldChar w:fldCharType="begin"/>
        </w:r>
        <w:r w:rsidR="00677337">
          <w:rPr>
            <w:noProof/>
            <w:webHidden/>
          </w:rPr>
          <w:instrText xml:space="preserve"> PAGEREF _Toc427316493 \h </w:instrText>
        </w:r>
        <w:r w:rsidR="00677337">
          <w:rPr>
            <w:noProof/>
            <w:webHidden/>
          </w:rPr>
        </w:r>
        <w:r w:rsidR="00677337">
          <w:rPr>
            <w:noProof/>
            <w:webHidden/>
          </w:rPr>
          <w:fldChar w:fldCharType="separate"/>
        </w:r>
        <w:r w:rsidR="00003E46">
          <w:rPr>
            <w:noProof/>
            <w:webHidden/>
          </w:rPr>
          <w:t>7</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4" w:history="1">
        <w:r w:rsidR="00677337" w:rsidRPr="00DC6312">
          <w:rPr>
            <w:rStyle w:val="Hyperlink"/>
            <w:noProof/>
          </w:rPr>
          <w:t>Population and School Enrollment</w:t>
        </w:r>
        <w:r w:rsidR="00677337">
          <w:rPr>
            <w:noProof/>
            <w:webHidden/>
          </w:rPr>
          <w:tab/>
        </w:r>
        <w:r w:rsidR="00677337">
          <w:rPr>
            <w:noProof/>
            <w:webHidden/>
          </w:rPr>
          <w:fldChar w:fldCharType="begin"/>
        </w:r>
        <w:r w:rsidR="00677337">
          <w:rPr>
            <w:noProof/>
            <w:webHidden/>
          </w:rPr>
          <w:instrText xml:space="preserve"> PAGEREF _Toc427316494 \h </w:instrText>
        </w:r>
        <w:r w:rsidR="00677337">
          <w:rPr>
            <w:noProof/>
            <w:webHidden/>
          </w:rPr>
        </w:r>
        <w:r w:rsidR="00677337">
          <w:rPr>
            <w:noProof/>
            <w:webHidden/>
          </w:rPr>
          <w:fldChar w:fldCharType="separate"/>
        </w:r>
        <w:r w:rsidR="00003E46">
          <w:rPr>
            <w:noProof/>
            <w:webHidden/>
          </w:rPr>
          <w:t>8</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5" w:history="1">
        <w:r w:rsidR="00677337" w:rsidRPr="00DC6312">
          <w:rPr>
            <w:rStyle w:val="Hyperlink"/>
            <w:noProof/>
          </w:rPr>
          <w:t>Enrollment Projections</w:t>
        </w:r>
        <w:r w:rsidR="00677337">
          <w:rPr>
            <w:noProof/>
            <w:webHidden/>
          </w:rPr>
          <w:tab/>
        </w:r>
        <w:r w:rsidR="00677337">
          <w:rPr>
            <w:noProof/>
            <w:webHidden/>
          </w:rPr>
          <w:fldChar w:fldCharType="begin"/>
        </w:r>
        <w:r w:rsidR="00677337">
          <w:rPr>
            <w:noProof/>
            <w:webHidden/>
          </w:rPr>
          <w:instrText xml:space="preserve"> PAGEREF _Toc427316495 \h </w:instrText>
        </w:r>
        <w:r w:rsidR="00677337">
          <w:rPr>
            <w:noProof/>
            <w:webHidden/>
          </w:rPr>
        </w:r>
        <w:r w:rsidR="00677337">
          <w:rPr>
            <w:noProof/>
            <w:webHidden/>
          </w:rPr>
          <w:fldChar w:fldCharType="separate"/>
        </w:r>
        <w:r w:rsidR="00003E46">
          <w:rPr>
            <w:noProof/>
            <w:webHidden/>
          </w:rPr>
          <w:t>9</w:t>
        </w:r>
        <w:r w:rsidR="00677337">
          <w:rPr>
            <w:noProof/>
            <w:webHidden/>
          </w:rPr>
          <w:fldChar w:fldCharType="end"/>
        </w:r>
      </w:hyperlink>
    </w:p>
    <w:p w:rsidR="00677337" w:rsidRDefault="00563955">
      <w:pPr>
        <w:pStyle w:val="TOC1"/>
        <w:rPr>
          <w:rFonts w:asciiTheme="minorHAnsi" w:eastAsiaTheme="minorEastAsia" w:hAnsiTheme="minorHAnsi"/>
          <w:sz w:val="22"/>
          <w:szCs w:val="22"/>
        </w:rPr>
      </w:pPr>
      <w:hyperlink w:anchor="_Toc427316496" w:history="1">
        <w:r w:rsidR="00677337" w:rsidRPr="00DC6312">
          <w:rPr>
            <w:rStyle w:val="Hyperlink"/>
          </w:rPr>
          <w:t>Income and Employment Characteristics</w:t>
        </w:r>
        <w:r w:rsidR="00677337">
          <w:rPr>
            <w:webHidden/>
          </w:rPr>
          <w:tab/>
        </w:r>
        <w:r w:rsidR="00677337">
          <w:rPr>
            <w:webHidden/>
          </w:rPr>
          <w:fldChar w:fldCharType="begin"/>
        </w:r>
        <w:r w:rsidR="00677337">
          <w:rPr>
            <w:webHidden/>
          </w:rPr>
          <w:instrText xml:space="preserve"> PAGEREF _Toc427316496 \h </w:instrText>
        </w:r>
        <w:r w:rsidR="00677337">
          <w:rPr>
            <w:webHidden/>
          </w:rPr>
        </w:r>
        <w:r w:rsidR="00677337">
          <w:rPr>
            <w:webHidden/>
          </w:rPr>
          <w:fldChar w:fldCharType="separate"/>
        </w:r>
        <w:r w:rsidR="00003E46">
          <w:rPr>
            <w:webHidden/>
          </w:rPr>
          <w:t>10</w:t>
        </w:r>
        <w:r w:rsidR="00677337">
          <w:rPr>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7" w:history="1">
        <w:r w:rsidR="00677337" w:rsidRPr="00DC6312">
          <w:rPr>
            <w:rStyle w:val="Hyperlink"/>
            <w:noProof/>
          </w:rPr>
          <w:t>Median Household Income</w:t>
        </w:r>
        <w:r w:rsidR="00677337">
          <w:rPr>
            <w:noProof/>
            <w:webHidden/>
          </w:rPr>
          <w:tab/>
        </w:r>
        <w:r w:rsidR="00677337">
          <w:rPr>
            <w:noProof/>
            <w:webHidden/>
          </w:rPr>
          <w:fldChar w:fldCharType="begin"/>
        </w:r>
        <w:r w:rsidR="00677337">
          <w:rPr>
            <w:noProof/>
            <w:webHidden/>
          </w:rPr>
          <w:instrText xml:space="preserve"> PAGEREF _Toc427316497 \h </w:instrText>
        </w:r>
        <w:r w:rsidR="00677337">
          <w:rPr>
            <w:noProof/>
            <w:webHidden/>
          </w:rPr>
        </w:r>
        <w:r w:rsidR="00677337">
          <w:rPr>
            <w:noProof/>
            <w:webHidden/>
          </w:rPr>
          <w:fldChar w:fldCharType="separate"/>
        </w:r>
        <w:r w:rsidR="00003E46">
          <w:rPr>
            <w:noProof/>
            <w:webHidden/>
          </w:rPr>
          <w:t>10</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8" w:history="1">
        <w:r w:rsidR="00677337" w:rsidRPr="00DC6312">
          <w:rPr>
            <w:rStyle w:val="Hyperlink"/>
            <w:noProof/>
          </w:rPr>
          <w:t>Per Capita Income</w:t>
        </w:r>
        <w:r w:rsidR="00677337">
          <w:rPr>
            <w:noProof/>
            <w:webHidden/>
          </w:rPr>
          <w:tab/>
        </w:r>
        <w:r w:rsidR="00677337">
          <w:rPr>
            <w:noProof/>
            <w:webHidden/>
          </w:rPr>
          <w:fldChar w:fldCharType="begin"/>
        </w:r>
        <w:r w:rsidR="00677337">
          <w:rPr>
            <w:noProof/>
            <w:webHidden/>
          </w:rPr>
          <w:instrText xml:space="preserve"> PAGEREF _Toc427316498 \h </w:instrText>
        </w:r>
        <w:r w:rsidR="00677337">
          <w:rPr>
            <w:noProof/>
            <w:webHidden/>
          </w:rPr>
        </w:r>
        <w:r w:rsidR="00677337">
          <w:rPr>
            <w:noProof/>
            <w:webHidden/>
          </w:rPr>
          <w:fldChar w:fldCharType="separate"/>
        </w:r>
        <w:r w:rsidR="00003E46">
          <w:rPr>
            <w:noProof/>
            <w:webHidden/>
          </w:rPr>
          <w:t>10</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499" w:history="1">
        <w:r w:rsidR="00677337" w:rsidRPr="00DC6312">
          <w:rPr>
            <w:rStyle w:val="Hyperlink"/>
            <w:noProof/>
          </w:rPr>
          <w:t>Income Groups</w:t>
        </w:r>
        <w:r w:rsidR="00677337">
          <w:rPr>
            <w:noProof/>
            <w:webHidden/>
          </w:rPr>
          <w:tab/>
        </w:r>
        <w:r w:rsidR="00677337">
          <w:rPr>
            <w:noProof/>
            <w:webHidden/>
          </w:rPr>
          <w:fldChar w:fldCharType="begin"/>
        </w:r>
        <w:r w:rsidR="00677337">
          <w:rPr>
            <w:noProof/>
            <w:webHidden/>
          </w:rPr>
          <w:instrText xml:space="preserve"> PAGEREF _Toc427316499 \h </w:instrText>
        </w:r>
        <w:r w:rsidR="00677337">
          <w:rPr>
            <w:noProof/>
            <w:webHidden/>
          </w:rPr>
        </w:r>
        <w:r w:rsidR="00677337">
          <w:rPr>
            <w:noProof/>
            <w:webHidden/>
          </w:rPr>
          <w:fldChar w:fldCharType="separate"/>
        </w:r>
        <w:r w:rsidR="00003E46">
          <w:rPr>
            <w:noProof/>
            <w:webHidden/>
          </w:rPr>
          <w:t>10</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0" w:history="1">
        <w:r w:rsidR="00677337" w:rsidRPr="00DC6312">
          <w:rPr>
            <w:rStyle w:val="Hyperlink"/>
            <w:noProof/>
          </w:rPr>
          <w:t>Unemployment</w:t>
        </w:r>
        <w:r w:rsidR="00677337">
          <w:rPr>
            <w:noProof/>
            <w:webHidden/>
          </w:rPr>
          <w:tab/>
        </w:r>
        <w:r w:rsidR="00677337">
          <w:rPr>
            <w:noProof/>
            <w:webHidden/>
          </w:rPr>
          <w:fldChar w:fldCharType="begin"/>
        </w:r>
        <w:r w:rsidR="00677337">
          <w:rPr>
            <w:noProof/>
            <w:webHidden/>
          </w:rPr>
          <w:instrText xml:space="preserve"> PAGEREF _Toc427316500 \h </w:instrText>
        </w:r>
        <w:r w:rsidR="00677337">
          <w:rPr>
            <w:noProof/>
            <w:webHidden/>
          </w:rPr>
        </w:r>
        <w:r w:rsidR="00677337">
          <w:rPr>
            <w:noProof/>
            <w:webHidden/>
          </w:rPr>
          <w:fldChar w:fldCharType="separate"/>
        </w:r>
        <w:r w:rsidR="00003E46">
          <w:rPr>
            <w:noProof/>
            <w:webHidden/>
          </w:rPr>
          <w:t>11</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1" w:history="1">
        <w:r w:rsidR="00677337" w:rsidRPr="00DC6312">
          <w:rPr>
            <w:rStyle w:val="Hyperlink"/>
            <w:noProof/>
          </w:rPr>
          <w:t>Educational Attainment</w:t>
        </w:r>
        <w:r w:rsidR="00677337">
          <w:rPr>
            <w:noProof/>
            <w:webHidden/>
          </w:rPr>
          <w:tab/>
        </w:r>
        <w:r w:rsidR="00677337">
          <w:rPr>
            <w:noProof/>
            <w:webHidden/>
          </w:rPr>
          <w:fldChar w:fldCharType="begin"/>
        </w:r>
        <w:r w:rsidR="00677337">
          <w:rPr>
            <w:noProof/>
            <w:webHidden/>
          </w:rPr>
          <w:instrText xml:space="preserve"> PAGEREF _Toc427316501 \h </w:instrText>
        </w:r>
        <w:r w:rsidR="00677337">
          <w:rPr>
            <w:noProof/>
            <w:webHidden/>
          </w:rPr>
        </w:r>
        <w:r w:rsidR="00677337">
          <w:rPr>
            <w:noProof/>
            <w:webHidden/>
          </w:rPr>
          <w:fldChar w:fldCharType="separate"/>
        </w:r>
        <w:r w:rsidR="00003E46">
          <w:rPr>
            <w:noProof/>
            <w:webHidden/>
          </w:rPr>
          <w:t>12</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2" w:history="1">
        <w:r w:rsidR="00677337" w:rsidRPr="00DC6312">
          <w:rPr>
            <w:rStyle w:val="Hyperlink"/>
            <w:noProof/>
          </w:rPr>
          <w:t>Employment Class</w:t>
        </w:r>
        <w:r w:rsidR="00677337">
          <w:rPr>
            <w:noProof/>
            <w:webHidden/>
          </w:rPr>
          <w:tab/>
        </w:r>
        <w:r w:rsidR="00677337">
          <w:rPr>
            <w:noProof/>
            <w:webHidden/>
          </w:rPr>
          <w:fldChar w:fldCharType="begin"/>
        </w:r>
        <w:r w:rsidR="00677337">
          <w:rPr>
            <w:noProof/>
            <w:webHidden/>
          </w:rPr>
          <w:instrText xml:space="preserve"> PAGEREF _Toc427316502 \h </w:instrText>
        </w:r>
        <w:r w:rsidR="00677337">
          <w:rPr>
            <w:noProof/>
            <w:webHidden/>
          </w:rPr>
        </w:r>
        <w:r w:rsidR="00677337">
          <w:rPr>
            <w:noProof/>
            <w:webHidden/>
          </w:rPr>
          <w:fldChar w:fldCharType="separate"/>
        </w:r>
        <w:r w:rsidR="00003E46">
          <w:rPr>
            <w:noProof/>
            <w:webHidden/>
          </w:rPr>
          <w:t>13</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3" w:history="1">
        <w:r w:rsidR="00677337" w:rsidRPr="00DC6312">
          <w:rPr>
            <w:rStyle w:val="Hyperlink"/>
            <w:noProof/>
          </w:rPr>
          <w:t>Employment by Industry</w:t>
        </w:r>
        <w:r w:rsidR="00677337">
          <w:rPr>
            <w:noProof/>
            <w:webHidden/>
          </w:rPr>
          <w:tab/>
        </w:r>
        <w:r w:rsidR="00677337">
          <w:rPr>
            <w:noProof/>
            <w:webHidden/>
          </w:rPr>
          <w:fldChar w:fldCharType="begin"/>
        </w:r>
        <w:r w:rsidR="00677337">
          <w:rPr>
            <w:noProof/>
            <w:webHidden/>
          </w:rPr>
          <w:instrText xml:space="preserve"> PAGEREF _Toc427316503 \h </w:instrText>
        </w:r>
        <w:r w:rsidR="00677337">
          <w:rPr>
            <w:noProof/>
            <w:webHidden/>
          </w:rPr>
        </w:r>
        <w:r w:rsidR="00677337">
          <w:rPr>
            <w:noProof/>
            <w:webHidden/>
          </w:rPr>
          <w:fldChar w:fldCharType="separate"/>
        </w:r>
        <w:r w:rsidR="00003E46">
          <w:rPr>
            <w:noProof/>
            <w:webHidden/>
          </w:rPr>
          <w:t>13</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4" w:history="1">
        <w:r w:rsidR="00677337" w:rsidRPr="00DC6312">
          <w:rPr>
            <w:rStyle w:val="Hyperlink"/>
            <w:noProof/>
          </w:rPr>
          <w:t>Major Employers</w:t>
        </w:r>
        <w:r w:rsidR="00677337">
          <w:rPr>
            <w:noProof/>
            <w:webHidden/>
          </w:rPr>
          <w:tab/>
        </w:r>
        <w:r w:rsidR="00677337">
          <w:rPr>
            <w:noProof/>
            <w:webHidden/>
          </w:rPr>
          <w:fldChar w:fldCharType="begin"/>
        </w:r>
        <w:r w:rsidR="00677337">
          <w:rPr>
            <w:noProof/>
            <w:webHidden/>
          </w:rPr>
          <w:instrText xml:space="preserve"> PAGEREF _Toc427316504 \h </w:instrText>
        </w:r>
        <w:r w:rsidR="00677337">
          <w:rPr>
            <w:noProof/>
            <w:webHidden/>
          </w:rPr>
        </w:r>
        <w:r w:rsidR="00677337">
          <w:rPr>
            <w:noProof/>
            <w:webHidden/>
          </w:rPr>
          <w:fldChar w:fldCharType="separate"/>
        </w:r>
        <w:r w:rsidR="00003E46">
          <w:rPr>
            <w:noProof/>
            <w:webHidden/>
          </w:rPr>
          <w:t>14</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5" w:history="1">
        <w:r w:rsidR="00677337" w:rsidRPr="00DC6312">
          <w:rPr>
            <w:rStyle w:val="Hyperlink"/>
            <w:noProof/>
          </w:rPr>
          <w:t>Commute Patterns</w:t>
        </w:r>
        <w:r w:rsidR="00677337">
          <w:rPr>
            <w:noProof/>
            <w:webHidden/>
          </w:rPr>
          <w:tab/>
        </w:r>
        <w:r w:rsidR="00677337">
          <w:rPr>
            <w:noProof/>
            <w:webHidden/>
          </w:rPr>
          <w:fldChar w:fldCharType="begin"/>
        </w:r>
        <w:r w:rsidR="00677337">
          <w:rPr>
            <w:noProof/>
            <w:webHidden/>
          </w:rPr>
          <w:instrText xml:space="preserve"> PAGEREF _Toc427316505 \h </w:instrText>
        </w:r>
        <w:r w:rsidR="00677337">
          <w:rPr>
            <w:noProof/>
            <w:webHidden/>
          </w:rPr>
        </w:r>
        <w:r w:rsidR="00677337">
          <w:rPr>
            <w:noProof/>
            <w:webHidden/>
          </w:rPr>
          <w:fldChar w:fldCharType="separate"/>
        </w:r>
        <w:r w:rsidR="00003E46">
          <w:rPr>
            <w:noProof/>
            <w:webHidden/>
          </w:rPr>
          <w:t>14</w:t>
        </w:r>
        <w:r w:rsidR="00677337">
          <w:rPr>
            <w:noProof/>
            <w:webHidden/>
          </w:rPr>
          <w:fldChar w:fldCharType="end"/>
        </w:r>
      </w:hyperlink>
    </w:p>
    <w:p w:rsidR="00677337" w:rsidRDefault="00563955">
      <w:pPr>
        <w:pStyle w:val="TOC1"/>
        <w:rPr>
          <w:rFonts w:asciiTheme="minorHAnsi" w:eastAsiaTheme="minorEastAsia" w:hAnsiTheme="minorHAnsi"/>
          <w:sz w:val="22"/>
          <w:szCs w:val="22"/>
        </w:rPr>
      </w:pPr>
      <w:hyperlink w:anchor="_Toc427316506" w:history="1">
        <w:r w:rsidR="00677337" w:rsidRPr="00DC6312">
          <w:rPr>
            <w:rStyle w:val="Hyperlink"/>
          </w:rPr>
          <w:t>Housing</w:t>
        </w:r>
        <w:r w:rsidR="00677337">
          <w:rPr>
            <w:webHidden/>
          </w:rPr>
          <w:tab/>
        </w:r>
        <w:r w:rsidR="00677337">
          <w:rPr>
            <w:webHidden/>
          </w:rPr>
          <w:fldChar w:fldCharType="begin"/>
        </w:r>
        <w:r w:rsidR="00677337">
          <w:rPr>
            <w:webHidden/>
          </w:rPr>
          <w:instrText xml:space="preserve"> PAGEREF _Toc427316506 \h </w:instrText>
        </w:r>
        <w:r w:rsidR="00677337">
          <w:rPr>
            <w:webHidden/>
          </w:rPr>
        </w:r>
        <w:r w:rsidR="00677337">
          <w:rPr>
            <w:webHidden/>
          </w:rPr>
          <w:fldChar w:fldCharType="separate"/>
        </w:r>
        <w:r w:rsidR="00003E46">
          <w:rPr>
            <w:webHidden/>
          </w:rPr>
          <w:t>15</w:t>
        </w:r>
        <w:r w:rsidR="00677337">
          <w:rPr>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7" w:history="1">
        <w:r w:rsidR="00677337" w:rsidRPr="00DC6312">
          <w:rPr>
            <w:rStyle w:val="Hyperlink"/>
            <w:noProof/>
          </w:rPr>
          <w:t>Household Type</w:t>
        </w:r>
        <w:r w:rsidR="00677337">
          <w:rPr>
            <w:noProof/>
            <w:webHidden/>
          </w:rPr>
          <w:tab/>
        </w:r>
        <w:r w:rsidR="00677337">
          <w:rPr>
            <w:noProof/>
            <w:webHidden/>
          </w:rPr>
          <w:fldChar w:fldCharType="begin"/>
        </w:r>
        <w:r w:rsidR="00677337">
          <w:rPr>
            <w:noProof/>
            <w:webHidden/>
          </w:rPr>
          <w:instrText xml:space="preserve"> PAGEREF _Toc427316507 \h </w:instrText>
        </w:r>
        <w:r w:rsidR="00677337">
          <w:rPr>
            <w:noProof/>
            <w:webHidden/>
          </w:rPr>
        </w:r>
        <w:r w:rsidR="00677337">
          <w:rPr>
            <w:noProof/>
            <w:webHidden/>
          </w:rPr>
          <w:fldChar w:fldCharType="separate"/>
        </w:r>
        <w:r w:rsidR="00003E46">
          <w:rPr>
            <w:noProof/>
            <w:webHidden/>
          </w:rPr>
          <w:t>15</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8" w:history="1">
        <w:r w:rsidR="00677337" w:rsidRPr="00DC6312">
          <w:rPr>
            <w:rStyle w:val="Hyperlink"/>
            <w:noProof/>
          </w:rPr>
          <w:t>Family Households</w:t>
        </w:r>
        <w:r w:rsidR="00677337">
          <w:rPr>
            <w:noProof/>
            <w:webHidden/>
          </w:rPr>
          <w:tab/>
        </w:r>
        <w:r w:rsidR="00677337">
          <w:rPr>
            <w:noProof/>
            <w:webHidden/>
          </w:rPr>
          <w:fldChar w:fldCharType="begin"/>
        </w:r>
        <w:r w:rsidR="00677337">
          <w:rPr>
            <w:noProof/>
            <w:webHidden/>
          </w:rPr>
          <w:instrText xml:space="preserve"> PAGEREF _Toc427316508 \h </w:instrText>
        </w:r>
        <w:r w:rsidR="00677337">
          <w:rPr>
            <w:noProof/>
            <w:webHidden/>
          </w:rPr>
        </w:r>
        <w:r w:rsidR="00677337">
          <w:rPr>
            <w:noProof/>
            <w:webHidden/>
          </w:rPr>
          <w:fldChar w:fldCharType="separate"/>
        </w:r>
        <w:r w:rsidR="00003E46">
          <w:rPr>
            <w:noProof/>
            <w:webHidden/>
          </w:rPr>
          <w:t>16</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09" w:history="1">
        <w:r w:rsidR="00677337" w:rsidRPr="00DC6312">
          <w:rPr>
            <w:rStyle w:val="Hyperlink"/>
            <w:noProof/>
          </w:rPr>
          <w:t>Household Size</w:t>
        </w:r>
        <w:r w:rsidR="00677337">
          <w:rPr>
            <w:noProof/>
            <w:webHidden/>
          </w:rPr>
          <w:tab/>
        </w:r>
        <w:r w:rsidR="00677337">
          <w:rPr>
            <w:noProof/>
            <w:webHidden/>
          </w:rPr>
          <w:fldChar w:fldCharType="begin"/>
        </w:r>
        <w:r w:rsidR="00677337">
          <w:rPr>
            <w:noProof/>
            <w:webHidden/>
          </w:rPr>
          <w:instrText xml:space="preserve"> PAGEREF _Toc427316509 \h </w:instrText>
        </w:r>
        <w:r w:rsidR="00677337">
          <w:rPr>
            <w:noProof/>
            <w:webHidden/>
          </w:rPr>
        </w:r>
        <w:r w:rsidR="00677337">
          <w:rPr>
            <w:noProof/>
            <w:webHidden/>
          </w:rPr>
          <w:fldChar w:fldCharType="separate"/>
        </w:r>
        <w:r w:rsidR="00003E46">
          <w:rPr>
            <w:noProof/>
            <w:webHidden/>
          </w:rPr>
          <w:t>16</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0" w:history="1">
        <w:r w:rsidR="00677337" w:rsidRPr="00DC6312">
          <w:rPr>
            <w:rStyle w:val="Hyperlink"/>
            <w:noProof/>
          </w:rPr>
          <w:t>Housing Unit Vacancy</w:t>
        </w:r>
        <w:r w:rsidR="00677337">
          <w:rPr>
            <w:noProof/>
            <w:webHidden/>
          </w:rPr>
          <w:tab/>
        </w:r>
        <w:r w:rsidR="00677337">
          <w:rPr>
            <w:noProof/>
            <w:webHidden/>
          </w:rPr>
          <w:fldChar w:fldCharType="begin"/>
        </w:r>
        <w:r w:rsidR="00677337">
          <w:rPr>
            <w:noProof/>
            <w:webHidden/>
          </w:rPr>
          <w:instrText xml:space="preserve"> PAGEREF _Toc427316510 \h </w:instrText>
        </w:r>
        <w:r w:rsidR="00677337">
          <w:rPr>
            <w:noProof/>
            <w:webHidden/>
          </w:rPr>
        </w:r>
        <w:r w:rsidR="00677337">
          <w:rPr>
            <w:noProof/>
            <w:webHidden/>
          </w:rPr>
          <w:fldChar w:fldCharType="separate"/>
        </w:r>
        <w:r w:rsidR="00003E46">
          <w:rPr>
            <w:noProof/>
            <w:webHidden/>
          </w:rPr>
          <w:t>17</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1" w:history="1">
        <w:r w:rsidR="00677337" w:rsidRPr="00DC6312">
          <w:rPr>
            <w:rStyle w:val="Hyperlink"/>
            <w:noProof/>
          </w:rPr>
          <w:t>Building Permits</w:t>
        </w:r>
        <w:r w:rsidR="00677337">
          <w:rPr>
            <w:noProof/>
            <w:webHidden/>
          </w:rPr>
          <w:tab/>
        </w:r>
        <w:r w:rsidR="00677337">
          <w:rPr>
            <w:noProof/>
            <w:webHidden/>
          </w:rPr>
          <w:fldChar w:fldCharType="begin"/>
        </w:r>
        <w:r w:rsidR="00677337">
          <w:rPr>
            <w:noProof/>
            <w:webHidden/>
          </w:rPr>
          <w:instrText xml:space="preserve"> PAGEREF _Toc427316511 \h </w:instrText>
        </w:r>
        <w:r w:rsidR="00677337">
          <w:rPr>
            <w:noProof/>
            <w:webHidden/>
          </w:rPr>
        </w:r>
        <w:r w:rsidR="00677337">
          <w:rPr>
            <w:noProof/>
            <w:webHidden/>
          </w:rPr>
          <w:fldChar w:fldCharType="separate"/>
        </w:r>
        <w:r w:rsidR="00003E46">
          <w:rPr>
            <w:noProof/>
            <w:webHidden/>
          </w:rPr>
          <w:t>17</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2" w:history="1">
        <w:r w:rsidR="00677337" w:rsidRPr="00DC6312">
          <w:rPr>
            <w:rStyle w:val="Hyperlink"/>
            <w:noProof/>
          </w:rPr>
          <w:t>Assessed Home Values</w:t>
        </w:r>
        <w:r w:rsidR="00677337">
          <w:rPr>
            <w:noProof/>
            <w:webHidden/>
          </w:rPr>
          <w:tab/>
        </w:r>
        <w:r w:rsidR="00677337">
          <w:rPr>
            <w:noProof/>
            <w:webHidden/>
          </w:rPr>
          <w:fldChar w:fldCharType="begin"/>
        </w:r>
        <w:r w:rsidR="00677337">
          <w:rPr>
            <w:noProof/>
            <w:webHidden/>
          </w:rPr>
          <w:instrText xml:space="preserve"> PAGEREF _Toc427316512 \h </w:instrText>
        </w:r>
        <w:r w:rsidR="00677337">
          <w:rPr>
            <w:noProof/>
            <w:webHidden/>
          </w:rPr>
        </w:r>
        <w:r w:rsidR="00677337">
          <w:rPr>
            <w:noProof/>
            <w:webHidden/>
          </w:rPr>
          <w:fldChar w:fldCharType="separate"/>
        </w:r>
        <w:r w:rsidR="00003E46">
          <w:rPr>
            <w:noProof/>
            <w:webHidden/>
          </w:rPr>
          <w:t>18</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3" w:history="1">
        <w:r w:rsidR="00677337" w:rsidRPr="00DC6312">
          <w:rPr>
            <w:rStyle w:val="Hyperlink"/>
            <w:noProof/>
          </w:rPr>
          <w:t>Purchase Prices</w:t>
        </w:r>
        <w:r w:rsidR="00677337">
          <w:rPr>
            <w:noProof/>
            <w:webHidden/>
          </w:rPr>
          <w:tab/>
        </w:r>
        <w:r w:rsidR="00677337">
          <w:rPr>
            <w:noProof/>
            <w:webHidden/>
          </w:rPr>
          <w:fldChar w:fldCharType="begin"/>
        </w:r>
        <w:r w:rsidR="00677337">
          <w:rPr>
            <w:noProof/>
            <w:webHidden/>
          </w:rPr>
          <w:instrText xml:space="preserve"> PAGEREF _Toc427316513 \h </w:instrText>
        </w:r>
        <w:r w:rsidR="00677337">
          <w:rPr>
            <w:noProof/>
            <w:webHidden/>
          </w:rPr>
        </w:r>
        <w:r w:rsidR="00677337">
          <w:rPr>
            <w:noProof/>
            <w:webHidden/>
          </w:rPr>
          <w:fldChar w:fldCharType="separate"/>
        </w:r>
        <w:r w:rsidR="00003E46">
          <w:rPr>
            <w:noProof/>
            <w:webHidden/>
          </w:rPr>
          <w:t>19</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4" w:history="1">
        <w:r w:rsidR="00677337" w:rsidRPr="00DC6312">
          <w:rPr>
            <w:rStyle w:val="Hyperlink"/>
            <w:noProof/>
          </w:rPr>
          <w:t>Purchase Price Frequency</w:t>
        </w:r>
        <w:r w:rsidR="00677337">
          <w:rPr>
            <w:noProof/>
            <w:webHidden/>
          </w:rPr>
          <w:tab/>
        </w:r>
        <w:r w:rsidR="00677337">
          <w:rPr>
            <w:noProof/>
            <w:webHidden/>
          </w:rPr>
          <w:fldChar w:fldCharType="begin"/>
        </w:r>
        <w:r w:rsidR="00677337">
          <w:rPr>
            <w:noProof/>
            <w:webHidden/>
          </w:rPr>
          <w:instrText xml:space="preserve"> PAGEREF _Toc427316514 \h </w:instrText>
        </w:r>
        <w:r w:rsidR="00677337">
          <w:rPr>
            <w:noProof/>
            <w:webHidden/>
          </w:rPr>
        </w:r>
        <w:r w:rsidR="00677337">
          <w:rPr>
            <w:noProof/>
            <w:webHidden/>
          </w:rPr>
          <w:fldChar w:fldCharType="separate"/>
        </w:r>
        <w:r w:rsidR="00003E46">
          <w:rPr>
            <w:noProof/>
            <w:webHidden/>
          </w:rPr>
          <w:t>19</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5" w:history="1">
        <w:r w:rsidR="00677337" w:rsidRPr="00DC6312">
          <w:rPr>
            <w:rStyle w:val="Hyperlink"/>
            <w:noProof/>
          </w:rPr>
          <w:t>Rental Costs</w:t>
        </w:r>
        <w:r w:rsidR="00677337">
          <w:rPr>
            <w:noProof/>
            <w:webHidden/>
          </w:rPr>
          <w:tab/>
        </w:r>
        <w:r w:rsidR="00677337">
          <w:rPr>
            <w:noProof/>
            <w:webHidden/>
          </w:rPr>
          <w:fldChar w:fldCharType="begin"/>
        </w:r>
        <w:r w:rsidR="00677337">
          <w:rPr>
            <w:noProof/>
            <w:webHidden/>
          </w:rPr>
          <w:instrText xml:space="preserve"> PAGEREF _Toc427316515 \h </w:instrText>
        </w:r>
        <w:r w:rsidR="00677337">
          <w:rPr>
            <w:noProof/>
            <w:webHidden/>
          </w:rPr>
        </w:r>
        <w:r w:rsidR="00677337">
          <w:rPr>
            <w:noProof/>
            <w:webHidden/>
          </w:rPr>
          <w:fldChar w:fldCharType="separate"/>
        </w:r>
        <w:r w:rsidR="00003E46">
          <w:rPr>
            <w:noProof/>
            <w:webHidden/>
          </w:rPr>
          <w:t>20</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6" w:history="1">
        <w:r w:rsidR="00677337" w:rsidRPr="00DC6312">
          <w:rPr>
            <w:rStyle w:val="Hyperlink"/>
            <w:noProof/>
          </w:rPr>
          <w:t>Rental Cost Frequency</w:t>
        </w:r>
        <w:r w:rsidR="00677337">
          <w:rPr>
            <w:noProof/>
            <w:webHidden/>
          </w:rPr>
          <w:tab/>
        </w:r>
        <w:r w:rsidR="00677337">
          <w:rPr>
            <w:noProof/>
            <w:webHidden/>
          </w:rPr>
          <w:fldChar w:fldCharType="begin"/>
        </w:r>
        <w:r w:rsidR="00677337">
          <w:rPr>
            <w:noProof/>
            <w:webHidden/>
          </w:rPr>
          <w:instrText xml:space="preserve"> PAGEREF _Toc427316516 \h </w:instrText>
        </w:r>
        <w:r w:rsidR="00677337">
          <w:rPr>
            <w:noProof/>
            <w:webHidden/>
          </w:rPr>
        </w:r>
        <w:r w:rsidR="00677337">
          <w:rPr>
            <w:noProof/>
            <w:webHidden/>
          </w:rPr>
          <w:fldChar w:fldCharType="separate"/>
        </w:r>
        <w:r w:rsidR="00003E46">
          <w:rPr>
            <w:noProof/>
            <w:webHidden/>
          </w:rPr>
          <w:t>20</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7" w:history="1">
        <w:r w:rsidR="00677337" w:rsidRPr="00DC6312">
          <w:rPr>
            <w:rStyle w:val="Hyperlink"/>
            <w:noProof/>
          </w:rPr>
          <w:t>Severe Housing Problems</w:t>
        </w:r>
        <w:r w:rsidR="00677337">
          <w:rPr>
            <w:noProof/>
            <w:webHidden/>
          </w:rPr>
          <w:tab/>
        </w:r>
        <w:r w:rsidR="00677337">
          <w:rPr>
            <w:noProof/>
            <w:webHidden/>
          </w:rPr>
          <w:fldChar w:fldCharType="begin"/>
        </w:r>
        <w:r w:rsidR="00677337">
          <w:rPr>
            <w:noProof/>
            <w:webHidden/>
          </w:rPr>
          <w:instrText xml:space="preserve"> PAGEREF _Toc427316517 \h </w:instrText>
        </w:r>
        <w:r w:rsidR="00677337">
          <w:rPr>
            <w:noProof/>
            <w:webHidden/>
          </w:rPr>
        </w:r>
        <w:r w:rsidR="00677337">
          <w:rPr>
            <w:noProof/>
            <w:webHidden/>
          </w:rPr>
          <w:fldChar w:fldCharType="separate"/>
        </w:r>
        <w:r w:rsidR="00003E46">
          <w:rPr>
            <w:noProof/>
            <w:webHidden/>
          </w:rPr>
          <w:t>21</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8" w:history="1">
        <w:r w:rsidR="00677337" w:rsidRPr="00DC6312">
          <w:rPr>
            <w:rStyle w:val="Hyperlink"/>
            <w:noProof/>
          </w:rPr>
          <w:t>Housing Cost Burden</w:t>
        </w:r>
        <w:r w:rsidR="00677337">
          <w:rPr>
            <w:noProof/>
            <w:webHidden/>
          </w:rPr>
          <w:tab/>
        </w:r>
        <w:r w:rsidR="00677337">
          <w:rPr>
            <w:noProof/>
            <w:webHidden/>
          </w:rPr>
          <w:fldChar w:fldCharType="begin"/>
        </w:r>
        <w:r w:rsidR="00677337">
          <w:rPr>
            <w:noProof/>
            <w:webHidden/>
          </w:rPr>
          <w:instrText xml:space="preserve"> PAGEREF _Toc427316518 \h </w:instrText>
        </w:r>
        <w:r w:rsidR="00677337">
          <w:rPr>
            <w:noProof/>
            <w:webHidden/>
          </w:rPr>
        </w:r>
        <w:r w:rsidR="00677337">
          <w:rPr>
            <w:noProof/>
            <w:webHidden/>
          </w:rPr>
          <w:fldChar w:fldCharType="separate"/>
        </w:r>
        <w:r w:rsidR="00003E46">
          <w:rPr>
            <w:noProof/>
            <w:webHidden/>
          </w:rPr>
          <w:t>21</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19" w:history="1">
        <w:r w:rsidR="00677337" w:rsidRPr="00DC6312">
          <w:rPr>
            <w:rStyle w:val="Hyperlink"/>
            <w:noProof/>
          </w:rPr>
          <w:t>Housing Affordability</w:t>
        </w:r>
        <w:r w:rsidR="00677337">
          <w:rPr>
            <w:noProof/>
            <w:webHidden/>
          </w:rPr>
          <w:tab/>
        </w:r>
        <w:r w:rsidR="00677337">
          <w:rPr>
            <w:noProof/>
            <w:webHidden/>
          </w:rPr>
          <w:fldChar w:fldCharType="begin"/>
        </w:r>
        <w:r w:rsidR="00677337">
          <w:rPr>
            <w:noProof/>
            <w:webHidden/>
          </w:rPr>
          <w:instrText xml:space="preserve"> PAGEREF _Toc427316519 \h </w:instrText>
        </w:r>
        <w:r w:rsidR="00677337">
          <w:rPr>
            <w:noProof/>
            <w:webHidden/>
          </w:rPr>
        </w:r>
        <w:r w:rsidR="00677337">
          <w:rPr>
            <w:noProof/>
            <w:webHidden/>
          </w:rPr>
          <w:fldChar w:fldCharType="separate"/>
        </w:r>
        <w:r w:rsidR="00003E46">
          <w:rPr>
            <w:noProof/>
            <w:webHidden/>
          </w:rPr>
          <w:t>22</w:t>
        </w:r>
        <w:r w:rsidR="00677337">
          <w:rPr>
            <w:noProof/>
            <w:webHidden/>
          </w:rPr>
          <w:fldChar w:fldCharType="end"/>
        </w:r>
      </w:hyperlink>
    </w:p>
    <w:p w:rsidR="00677337" w:rsidRDefault="00563955">
      <w:pPr>
        <w:pStyle w:val="TOC1"/>
        <w:rPr>
          <w:rFonts w:asciiTheme="minorHAnsi" w:eastAsiaTheme="minorEastAsia" w:hAnsiTheme="minorHAnsi"/>
          <w:sz w:val="22"/>
          <w:szCs w:val="22"/>
        </w:rPr>
      </w:pPr>
      <w:hyperlink w:anchor="_Toc427316520" w:history="1">
        <w:r w:rsidR="00677337" w:rsidRPr="00DC6312">
          <w:rPr>
            <w:rStyle w:val="Hyperlink"/>
          </w:rPr>
          <w:t>Housing Trends</w:t>
        </w:r>
        <w:r w:rsidR="00677337">
          <w:rPr>
            <w:webHidden/>
          </w:rPr>
          <w:tab/>
        </w:r>
        <w:r w:rsidR="00677337">
          <w:rPr>
            <w:webHidden/>
          </w:rPr>
          <w:fldChar w:fldCharType="begin"/>
        </w:r>
        <w:r w:rsidR="00677337">
          <w:rPr>
            <w:webHidden/>
          </w:rPr>
          <w:instrText xml:space="preserve"> PAGEREF _Toc427316520 \h </w:instrText>
        </w:r>
        <w:r w:rsidR="00677337">
          <w:rPr>
            <w:webHidden/>
          </w:rPr>
        </w:r>
        <w:r w:rsidR="00677337">
          <w:rPr>
            <w:webHidden/>
          </w:rPr>
          <w:fldChar w:fldCharType="separate"/>
        </w:r>
        <w:r w:rsidR="00003E46">
          <w:rPr>
            <w:webHidden/>
          </w:rPr>
          <w:t>26</w:t>
        </w:r>
        <w:r w:rsidR="00677337">
          <w:rPr>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1" w:history="1">
        <w:r w:rsidR="00677337" w:rsidRPr="00DC6312">
          <w:rPr>
            <w:rStyle w:val="Hyperlink"/>
            <w:noProof/>
          </w:rPr>
          <w:t>Downtown Redevelopment Efforts and Resilience Planning</w:t>
        </w:r>
        <w:r w:rsidR="00677337">
          <w:rPr>
            <w:noProof/>
            <w:webHidden/>
          </w:rPr>
          <w:tab/>
        </w:r>
        <w:r w:rsidR="00677337">
          <w:rPr>
            <w:noProof/>
            <w:webHidden/>
          </w:rPr>
          <w:fldChar w:fldCharType="begin"/>
        </w:r>
        <w:r w:rsidR="00677337">
          <w:rPr>
            <w:noProof/>
            <w:webHidden/>
          </w:rPr>
          <w:instrText xml:space="preserve"> PAGEREF _Toc427316521 \h </w:instrText>
        </w:r>
        <w:r w:rsidR="00677337">
          <w:rPr>
            <w:noProof/>
            <w:webHidden/>
          </w:rPr>
        </w:r>
        <w:r w:rsidR="00677337">
          <w:rPr>
            <w:noProof/>
            <w:webHidden/>
          </w:rPr>
          <w:fldChar w:fldCharType="separate"/>
        </w:r>
        <w:r w:rsidR="00003E46">
          <w:rPr>
            <w:noProof/>
            <w:webHidden/>
          </w:rPr>
          <w:t>26</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2" w:history="1">
        <w:r w:rsidR="00677337" w:rsidRPr="00DC6312">
          <w:rPr>
            <w:rStyle w:val="Hyperlink"/>
            <w:noProof/>
          </w:rPr>
          <w:t>Age-Based Housing Trends</w:t>
        </w:r>
        <w:r w:rsidR="00677337">
          <w:rPr>
            <w:noProof/>
            <w:webHidden/>
          </w:rPr>
          <w:tab/>
        </w:r>
        <w:r w:rsidR="00677337">
          <w:rPr>
            <w:noProof/>
            <w:webHidden/>
          </w:rPr>
          <w:fldChar w:fldCharType="begin"/>
        </w:r>
        <w:r w:rsidR="00677337">
          <w:rPr>
            <w:noProof/>
            <w:webHidden/>
          </w:rPr>
          <w:instrText xml:space="preserve"> PAGEREF _Toc427316522 \h </w:instrText>
        </w:r>
        <w:r w:rsidR="00677337">
          <w:rPr>
            <w:noProof/>
            <w:webHidden/>
          </w:rPr>
        </w:r>
        <w:r w:rsidR="00677337">
          <w:rPr>
            <w:noProof/>
            <w:webHidden/>
          </w:rPr>
          <w:fldChar w:fldCharType="separate"/>
        </w:r>
        <w:r w:rsidR="00003E46">
          <w:rPr>
            <w:noProof/>
            <w:webHidden/>
          </w:rPr>
          <w:t>27</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3" w:history="1">
        <w:r w:rsidR="00677337" w:rsidRPr="00DC6312">
          <w:rPr>
            <w:rStyle w:val="Hyperlink"/>
            <w:noProof/>
          </w:rPr>
          <w:t>Student Housing</w:t>
        </w:r>
        <w:r w:rsidR="00677337">
          <w:rPr>
            <w:noProof/>
            <w:webHidden/>
          </w:rPr>
          <w:tab/>
        </w:r>
        <w:r w:rsidR="00677337">
          <w:rPr>
            <w:noProof/>
            <w:webHidden/>
          </w:rPr>
          <w:fldChar w:fldCharType="begin"/>
        </w:r>
        <w:r w:rsidR="00677337">
          <w:rPr>
            <w:noProof/>
            <w:webHidden/>
          </w:rPr>
          <w:instrText xml:space="preserve"> PAGEREF _Toc427316523 \h </w:instrText>
        </w:r>
        <w:r w:rsidR="00677337">
          <w:rPr>
            <w:noProof/>
            <w:webHidden/>
          </w:rPr>
        </w:r>
        <w:r w:rsidR="00677337">
          <w:rPr>
            <w:noProof/>
            <w:webHidden/>
          </w:rPr>
          <w:fldChar w:fldCharType="separate"/>
        </w:r>
        <w:r w:rsidR="00003E46">
          <w:rPr>
            <w:noProof/>
            <w:webHidden/>
          </w:rPr>
          <w:t>28</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4" w:history="1">
        <w:r w:rsidR="00677337" w:rsidRPr="00DC6312">
          <w:rPr>
            <w:rStyle w:val="Hyperlink"/>
            <w:noProof/>
          </w:rPr>
          <w:t>Universal Design</w:t>
        </w:r>
        <w:r w:rsidR="00677337">
          <w:rPr>
            <w:noProof/>
            <w:webHidden/>
          </w:rPr>
          <w:tab/>
        </w:r>
        <w:r w:rsidR="00677337">
          <w:rPr>
            <w:noProof/>
            <w:webHidden/>
          </w:rPr>
          <w:fldChar w:fldCharType="begin"/>
        </w:r>
        <w:r w:rsidR="00677337">
          <w:rPr>
            <w:noProof/>
            <w:webHidden/>
          </w:rPr>
          <w:instrText xml:space="preserve"> PAGEREF _Toc427316524 \h </w:instrText>
        </w:r>
        <w:r w:rsidR="00677337">
          <w:rPr>
            <w:noProof/>
            <w:webHidden/>
          </w:rPr>
        </w:r>
        <w:r w:rsidR="00677337">
          <w:rPr>
            <w:noProof/>
            <w:webHidden/>
          </w:rPr>
          <w:fldChar w:fldCharType="separate"/>
        </w:r>
        <w:r w:rsidR="00003E46">
          <w:rPr>
            <w:noProof/>
            <w:webHidden/>
          </w:rPr>
          <w:t>29</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5" w:history="1">
        <w:r w:rsidR="00677337" w:rsidRPr="00DC6312">
          <w:rPr>
            <w:rStyle w:val="Hyperlink"/>
            <w:noProof/>
          </w:rPr>
          <w:t>Accessory Dwelling Units</w:t>
        </w:r>
        <w:r w:rsidR="00677337">
          <w:rPr>
            <w:noProof/>
            <w:webHidden/>
          </w:rPr>
          <w:tab/>
        </w:r>
        <w:r w:rsidR="00677337">
          <w:rPr>
            <w:noProof/>
            <w:webHidden/>
          </w:rPr>
          <w:fldChar w:fldCharType="begin"/>
        </w:r>
        <w:r w:rsidR="00677337">
          <w:rPr>
            <w:noProof/>
            <w:webHidden/>
          </w:rPr>
          <w:instrText xml:space="preserve"> PAGEREF _Toc427316525 \h </w:instrText>
        </w:r>
        <w:r w:rsidR="00677337">
          <w:rPr>
            <w:noProof/>
            <w:webHidden/>
          </w:rPr>
        </w:r>
        <w:r w:rsidR="00677337">
          <w:rPr>
            <w:noProof/>
            <w:webHidden/>
          </w:rPr>
          <w:fldChar w:fldCharType="separate"/>
        </w:r>
        <w:r w:rsidR="00003E46">
          <w:rPr>
            <w:noProof/>
            <w:webHidden/>
          </w:rPr>
          <w:t>30</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6" w:history="1">
        <w:r w:rsidR="00677337" w:rsidRPr="00DC6312">
          <w:rPr>
            <w:rStyle w:val="Hyperlink"/>
            <w:noProof/>
          </w:rPr>
          <w:t>Condos and Cooperatives</w:t>
        </w:r>
        <w:r w:rsidR="00677337">
          <w:rPr>
            <w:noProof/>
            <w:webHidden/>
          </w:rPr>
          <w:tab/>
        </w:r>
        <w:r w:rsidR="00677337">
          <w:rPr>
            <w:noProof/>
            <w:webHidden/>
          </w:rPr>
          <w:fldChar w:fldCharType="begin"/>
        </w:r>
        <w:r w:rsidR="00677337">
          <w:rPr>
            <w:noProof/>
            <w:webHidden/>
          </w:rPr>
          <w:instrText xml:space="preserve"> PAGEREF _Toc427316526 \h </w:instrText>
        </w:r>
        <w:r w:rsidR="00677337">
          <w:rPr>
            <w:noProof/>
            <w:webHidden/>
          </w:rPr>
        </w:r>
        <w:r w:rsidR="00677337">
          <w:rPr>
            <w:noProof/>
            <w:webHidden/>
          </w:rPr>
          <w:fldChar w:fldCharType="separate"/>
        </w:r>
        <w:r w:rsidR="00003E46">
          <w:rPr>
            <w:noProof/>
            <w:webHidden/>
          </w:rPr>
          <w:t>31</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7" w:history="1">
        <w:r w:rsidR="00677337" w:rsidRPr="00DC6312">
          <w:rPr>
            <w:rStyle w:val="Hyperlink"/>
            <w:rFonts w:eastAsia="Droid Sans Fallback"/>
            <w:noProof/>
            <w:lang w:eastAsia="zh-CN" w:bidi="hi-IN"/>
          </w:rPr>
          <w:t>Property Tax Policies</w:t>
        </w:r>
        <w:r w:rsidR="00677337">
          <w:rPr>
            <w:noProof/>
            <w:webHidden/>
          </w:rPr>
          <w:tab/>
        </w:r>
        <w:r w:rsidR="00677337">
          <w:rPr>
            <w:noProof/>
            <w:webHidden/>
          </w:rPr>
          <w:fldChar w:fldCharType="begin"/>
        </w:r>
        <w:r w:rsidR="00677337">
          <w:rPr>
            <w:noProof/>
            <w:webHidden/>
          </w:rPr>
          <w:instrText xml:space="preserve"> PAGEREF _Toc427316527 \h </w:instrText>
        </w:r>
        <w:r w:rsidR="00677337">
          <w:rPr>
            <w:noProof/>
            <w:webHidden/>
          </w:rPr>
        </w:r>
        <w:r w:rsidR="00677337">
          <w:rPr>
            <w:noProof/>
            <w:webHidden/>
          </w:rPr>
          <w:fldChar w:fldCharType="separate"/>
        </w:r>
        <w:r w:rsidR="00003E46">
          <w:rPr>
            <w:noProof/>
            <w:webHidden/>
          </w:rPr>
          <w:t>31</w:t>
        </w:r>
        <w:r w:rsidR="00677337">
          <w:rPr>
            <w:noProof/>
            <w:webHidden/>
          </w:rPr>
          <w:fldChar w:fldCharType="end"/>
        </w:r>
      </w:hyperlink>
    </w:p>
    <w:p w:rsidR="00677337" w:rsidRDefault="00563955">
      <w:pPr>
        <w:pStyle w:val="TOC2"/>
        <w:tabs>
          <w:tab w:val="right" w:leader="dot" w:pos="9350"/>
        </w:tabs>
        <w:rPr>
          <w:rFonts w:asciiTheme="minorHAnsi" w:eastAsiaTheme="minorEastAsia" w:hAnsiTheme="minorHAnsi"/>
          <w:noProof/>
          <w:sz w:val="22"/>
          <w:szCs w:val="22"/>
        </w:rPr>
      </w:pPr>
      <w:hyperlink w:anchor="_Toc427316528" w:history="1">
        <w:r w:rsidR="00677337" w:rsidRPr="00DC6312">
          <w:rPr>
            <w:rStyle w:val="Hyperlink"/>
            <w:noProof/>
          </w:rPr>
          <w:t>Expansion of Ownership Opportunities</w:t>
        </w:r>
        <w:r w:rsidR="00677337">
          <w:rPr>
            <w:noProof/>
            <w:webHidden/>
          </w:rPr>
          <w:tab/>
        </w:r>
        <w:r w:rsidR="00677337">
          <w:rPr>
            <w:noProof/>
            <w:webHidden/>
          </w:rPr>
          <w:fldChar w:fldCharType="begin"/>
        </w:r>
        <w:r w:rsidR="00677337">
          <w:rPr>
            <w:noProof/>
            <w:webHidden/>
          </w:rPr>
          <w:instrText xml:space="preserve"> PAGEREF _Toc427316528 \h </w:instrText>
        </w:r>
        <w:r w:rsidR="00677337">
          <w:rPr>
            <w:noProof/>
            <w:webHidden/>
          </w:rPr>
        </w:r>
        <w:r w:rsidR="00677337">
          <w:rPr>
            <w:noProof/>
            <w:webHidden/>
          </w:rPr>
          <w:fldChar w:fldCharType="separate"/>
        </w:r>
        <w:r w:rsidR="00003E46">
          <w:rPr>
            <w:noProof/>
            <w:webHidden/>
          </w:rPr>
          <w:t>32</w:t>
        </w:r>
        <w:r w:rsidR="00677337">
          <w:rPr>
            <w:noProof/>
            <w:webHidden/>
          </w:rPr>
          <w:fldChar w:fldCharType="end"/>
        </w:r>
      </w:hyperlink>
    </w:p>
    <w:p w:rsidR="00677337" w:rsidRDefault="00563955">
      <w:pPr>
        <w:pStyle w:val="TOC1"/>
        <w:rPr>
          <w:rFonts w:asciiTheme="minorHAnsi" w:eastAsiaTheme="minorEastAsia" w:hAnsiTheme="minorHAnsi"/>
          <w:sz w:val="22"/>
          <w:szCs w:val="22"/>
        </w:rPr>
      </w:pPr>
      <w:hyperlink w:anchor="_Toc427316529" w:history="1">
        <w:r w:rsidR="00677337" w:rsidRPr="00DC6312">
          <w:rPr>
            <w:rStyle w:val="Hyperlink"/>
          </w:rPr>
          <w:t>Goals and Recommendations</w:t>
        </w:r>
        <w:r w:rsidR="00677337">
          <w:rPr>
            <w:webHidden/>
          </w:rPr>
          <w:tab/>
        </w:r>
        <w:r w:rsidR="00677337">
          <w:rPr>
            <w:webHidden/>
          </w:rPr>
          <w:fldChar w:fldCharType="begin"/>
        </w:r>
        <w:r w:rsidR="00677337">
          <w:rPr>
            <w:webHidden/>
          </w:rPr>
          <w:instrText xml:space="preserve"> PAGEREF _Toc427316529 \h </w:instrText>
        </w:r>
        <w:r w:rsidR="00677337">
          <w:rPr>
            <w:webHidden/>
          </w:rPr>
        </w:r>
        <w:r w:rsidR="00677337">
          <w:rPr>
            <w:webHidden/>
          </w:rPr>
          <w:fldChar w:fldCharType="separate"/>
        </w:r>
        <w:r w:rsidR="00003E46">
          <w:rPr>
            <w:webHidden/>
          </w:rPr>
          <w:t>33</w:t>
        </w:r>
        <w:r w:rsidR="00677337">
          <w:rPr>
            <w:webHidden/>
          </w:rPr>
          <w:fldChar w:fldCharType="end"/>
        </w:r>
      </w:hyperlink>
    </w:p>
    <w:p w:rsidR="001A1581" w:rsidRDefault="00CC1D32" w:rsidP="00575DB0">
      <w:pPr>
        <w:pStyle w:val="Heading1"/>
        <w:ind w:left="-720"/>
      </w:pPr>
      <w:r w:rsidRPr="00546909">
        <w:fldChar w:fldCharType="end"/>
      </w:r>
    </w:p>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634C34" w:rsidRDefault="00634C34"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 w:rsidR="007139B6" w:rsidRDefault="007139B6" w:rsidP="001A1581">
      <w:pPr>
        <w:sectPr w:rsidR="007139B6" w:rsidSect="00634C34">
          <w:pgSz w:w="12240" w:h="15840"/>
          <w:pgMar w:top="1440" w:right="1440" w:bottom="1440" w:left="1440" w:header="180" w:footer="720" w:gutter="0"/>
          <w:pgNumType w:start="1"/>
          <w:cols w:space="720"/>
          <w:docGrid w:linePitch="360"/>
        </w:sectPr>
      </w:pPr>
    </w:p>
    <w:p w:rsidR="001A1581" w:rsidRPr="00634C34" w:rsidRDefault="00634C34" w:rsidP="001A1581">
      <w:pPr>
        <w:rPr>
          <w:sz w:val="16"/>
          <w:szCs w:val="16"/>
        </w:rPr>
      </w:pPr>
      <w:r>
        <w:rPr>
          <w:noProof/>
          <w:sz w:val="28"/>
        </w:rPr>
        <w:lastRenderedPageBreak/>
        <w:drawing>
          <wp:anchor distT="0" distB="0" distL="114300" distR="114300" simplePos="0" relativeHeight="251711488" behindDoc="0" locked="0" layoutInCell="1" allowOverlap="1" wp14:anchorId="2BE83D43" wp14:editId="0782FE59">
            <wp:simplePos x="0" y="0"/>
            <wp:positionH relativeFrom="column">
              <wp:posOffset>-336550</wp:posOffset>
            </wp:positionH>
            <wp:positionV relativeFrom="paragraph">
              <wp:posOffset>-222250</wp:posOffset>
            </wp:positionV>
            <wp:extent cx="6051550" cy="2400300"/>
            <wp:effectExtent l="0" t="0" r="6350" b="0"/>
            <wp:wrapSquare wrapText="bothSides"/>
            <wp:docPr id="30" name="Picture 30" descr="M:\Towns\nkt\Master_Plan\HousingDemo2014Update\Newmarket Housing\11488299626_4a22b1ca81_z.jpg"/>
            <wp:cNvGraphicFramePr/>
            <a:graphic xmlns:a="http://schemas.openxmlformats.org/drawingml/2006/main">
              <a:graphicData uri="http://schemas.openxmlformats.org/drawingml/2006/picture">
                <pic:pic xmlns:pic="http://schemas.openxmlformats.org/drawingml/2006/picture">
                  <pic:nvPicPr>
                    <pic:cNvPr id="9" name="Picture 9" descr="M:\Towns\nkt\Master_Plan\HousingDemo2014Update\Newmarket Housing\11488299626_4a22b1ca81_z.jpg"/>
                    <pic:cNvPicPr/>
                  </pic:nvPicPr>
                  <pic:blipFill rotWithShape="1">
                    <a:blip r:embed="rId12">
                      <a:extLst>
                        <a:ext uri="{28A0092B-C50C-407E-A947-70E740481C1C}">
                          <a14:useLocalDpi xmlns:a14="http://schemas.microsoft.com/office/drawing/2010/main" val="0"/>
                        </a:ext>
                      </a:extLst>
                    </a:blip>
                    <a:srcRect t="22520" b="22520"/>
                    <a:stretch/>
                  </pic:blipFill>
                  <pic:spPr bwMode="auto">
                    <a:xfrm>
                      <a:off x="0" y="0"/>
                      <a:ext cx="6051550" cy="24003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ajorEastAsia" w:cstheme="majorBidi"/>
          <w:sz w:val="48"/>
          <w:szCs w:val="28"/>
        </w:rPr>
        <w:t xml:space="preserve">                                     </w:t>
      </w:r>
      <w:r>
        <w:rPr>
          <w:sz w:val="16"/>
          <w:szCs w:val="16"/>
        </w:rPr>
        <w:t>Bryant Rock/Bridge</w:t>
      </w:r>
      <w:r>
        <w:rPr>
          <w:sz w:val="16"/>
          <w:szCs w:val="16"/>
        </w:rPr>
        <w:tab/>
        <w:t>Source: Town of Newmarket</w:t>
      </w:r>
    </w:p>
    <w:bookmarkStart w:id="0" w:name="_Toc427316488"/>
    <w:p w:rsidR="009E47C7" w:rsidRPr="00575DB0" w:rsidRDefault="00D762F2" w:rsidP="00634C34">
      <w:pPr>
        <w:pStyle w:val="Heading1"/>
        <w:ind w:left="-720"/>
      </w:pPr>
      <w:r>
        <w:rPr>
          <w:noProof/>
        </w:rPr>
        <mc:AlternateContent>
          <mc:Choice Requires="wps">
            <w:drawing>
              <wp:anchor distT="0" distB="0" distL="114300" distR="114300" simplePos="0" relativeHeight="251717632" behindDoc="0" locked="0" layoutInCell="1" allowOverlap="1" wp14:anchorId="4FA1B567" wp14:editId="09B92263">
                <wp:simplePos x="0" y="0"/>
                <wp:positionH relativeFrom="column">
                  <wp:posOffset>3452495</wp:posOffset>
                </wp:positionH>
                <wp:positionV relativeFrom="paragraph">
                  <wp:posOffset>2317247</wp:posOffset>
                </wp:positionV>
                <wp:extent cx="2979486" cy="22034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86" cy="220345"/>
                        </a:xfrm>
                        <a:prstGeom prst="rect">
                          <a:avLst/>
                        </a:prstGeom>
                        <a:noFill/>
                        <a:ln w="9525">
                          <a:noFill/>
                          <a:miter lim="800000"/>
                          <a:headEnd/>
                          <a:tailEnd/>
                        </a:ln>
                      </wps:spPr>
                      <wps:txbx>
                        <w:txbxContent>
                          <w:p w:rsidR="009A5582" w:rsidRPr="00F04A9F" w:rsidRDefault="009A5582" w:rsidP="00D762F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1.85pt;margin-top:182.45pt;width:234.6pt;height:1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" filled="f" stroked="f">
                <v:textbox>
                  <w:txbxContent>
                    <w:p w:rsidR="009A5582" w:rsidRPr="00F04A9F" w:rsidRDefault="009A5582" w:rsidP="00D762F2">
                      <w:pPr>
                        <w:rPr>
                          <w:sz w:val="16"/>
                          <w:szCs w:val="16"/>
                        </w:rPr>
                      </w:pPr>
                    </w:p>
                  </w:txbxContent>
                </v:textbox>
              </v:shape>
            </w:pict>
          </mc:Fallback>
        </mc:AlternateContent>
      </w:r>
      <w:r w:rsidR="009E47C7" w:rsidRPr="00575DB0">
        <w:t>Introduction</w:t>
      </w:r>
      <w:bookmarkEnd w:id="0"/>
    </w:p>
    <w:p w:rsidR="00237A6A" w:rsidRPr="00CA29B2" w:rsidRDefault="00237A6A" w:rsidP="00232BDD">
      <w:pPr>
        <w:tabs>
          <w:tab w:val="left" w:pos="9900"/>
        </w:tabs>
        <w:ind w:left="-720" w:right="-720"/>
        <w:rPr>
          <w:rFonts w:asciiTheme="majorHAnsi" w:eastAsiaTheme="majorEastAsia" w:hAnsiTheme="majorHAnsi" w:cstheme="majorBidi"/>
          <w:color w:val="4A442A" w:themeColor="background2" w:themeShade="40"/>
        </w:rPr>
      </w:pPr>
      <w:r w:rsidRPr="00CA29B2">
        <w:t xml:space="preserve">The Housing </w:t>
      </w:r>
      <w:r w:rsidR="00333536" w:rsidRPr="00CA29B2">
        <w:t xml:space="preserve">and Demographics </w:t>
      </w:r>
      <w:r w:rsidRPr="00CA29B2">
        <w:t xml:space="preserve">chapter </w:t>
      </w:r>
      <w:proofErr w:type="gramStart"/>
      <w:r w:rsidRPr="00CA29B2">
        <w:t>is intended</w:t>
      </w:r>
      <w:proofErr w:type="gramEnd"/>
      <w:r w:rsidRPr="00CA29B2">
        <w:t xml:space="preserve"> to provide a “30,000-foot” level analysis of trends related to housing demand and supply, population demographics, and basic economic characteristics. Comparative analyses between the Town of Newmarket, Strafford Regional Planning Commission planning region, and State of New Hampshire </w:t>
      </w:r>
      <w:proofErr w:type="gramStart"/>
      <w:r w:rsidRPr="00CA29B2">
        <w:t>are provided</w:t>
      </w:r>
      <w:proofErr w:type="gramEnd"/>
      <w:r w:rsidRPr="00CA29B2">
        <w:t xml:space="preserve"> as a contextual tool for informing readers. While this chapter does provide a snapshot view, it is not a comprehensive study. </w:t>
      </w:r>
    </w:p>
    <w:p w:rsidR="00237A6A" w:rsidRPr="00CA29B2" w:rsidRDefault="00237A6A" w:rsidP="00232BDD">
      <w:pPr>
        <w:tabs>
          <w:tab w:val="left" w:pos="9900"/>
        </w:tabs>
        <w:ind w:left="-720" w:right="-720"/>
      </w:pPr>
      <w:r w:rsidRPr="00CA29B2">
        <w:t xml:space="preserve">Findings are based largely on 2010 decennial </w:t>
      </w:r>
      <w:r w:rsidR="009709F2">
        <w:t xml:space="preserve">United States </w:t>
      </w:r>
      <w:r w:rsidRPr="00CA29B2">
        <w:t xml:space="preserve">Census 100% Count </w:t>
      </w:r>
      <w:proofErr w:type="gramStart"/>
      <w:r w:rsidRPr="00CA29B2">
        <w:t>datasets</w:t>
      </w:r>
      <w:proofErr w:type="gramEnd"/>
      <w:r w:rsidRPr="00CA29B2">
        <w:t xml:space="preserve">, with support from American Community Survey </w:t>
      </w:r>
      <w:r w:rsidR="006E7D7A" w:rsidRPr="00CA29B2">
        <w:t xml:space="preserve">2012 and </w:t>
      </w:r>
      <w:r w:rsidRPr="00CA29B2">
        <w:t>201</w:t>
      </w:r>
      <w:r w:rsidR="00540DD7" w:rsidRPr="00CA29B2">
        <w:t>3</w:t>
      </w:r>
      <w:r w:rsidRPr="00CA29B2">
        <w:t xml:space="preserve"> 5-Year Estimates. </w:t>
      </w:r>
      <w:r w:rsidR="00333536">
        <w:t>L</w:t>
      </w:r>
      <w:r w:rsidR="006E7D7A" w:rsidRPr="00CA29B2">
        <w:t>ocal</w:t>
      </w:r>
      <w:r w:rsidRPr="00CA29B2">
        <w:t xml:space="preserve"> 2014 </w:t>
      </w:r>
      <w:r w:rsidR="00E303A9">
        <w:t>a</w:t>
      </w:r>
      <w:r w:rsidRPr="00CA29B2">
        <w:t xml:space="preserve">ssessing </w:t>
      </w:r>
      <w:r w:rsidR="00E303A9">
        <w:t>d</w:t>
      </w:r>
      <w:r w:rsidRPr="00CA29B2">
        <w:t>ata</w:t>
      </w:r>
      <w:r w:rsidR="006E7D7A" w:rsidRPr="00CA29B2">
        <w:t xml:space="preserve"> </w:t>
      </w:r>
      <w:proofErr w:type="gramStart"/>
      <w:r w:rsidR="006E7D7A" w:rsidRPr="00CA29B2">
        <w:t>was also</w:t>
      </w:r>
      <w:r w:rsidRPr="00CA29B2">
        <w:t xml:space="preserve"> employed</w:t>
      </w:r>
      <w:proofErr w:type="gramEnd"/>
      <w:r w:rsidRPr="00CA29B2">
        <w:t>. American Community Survey Estimates, as a sample-derived dataset, present high margins of error</w:t>
      </w:r>
      <w:r w:rsidR="00E303A9">
        <w:t>,</w:t>
      </w:r>
      <w:r w:rsidRPr="00CA29B2">
        <w:t xml:space="preserve"> and therefore</w:t>
      </w:r>
      <w:r w:rsidR="00E303A9">
        <w:t>,</w:t>
      </w:r>
      <w:r w:rsidRPr="00CA29B2">
        <w:t xml:space="preserve"> limited accuracy. As a result, estimates related to demographics, </w:t>
      </w:r>
      <w:proofErr w:type="gramStart"/>
      <w:r w:rsidRPr="00CA29B2">
        <w:t>housing, and economic characteristics should be treated carefully by those reviewing this document</w:t>
      </w:r>
      <w:proofErr w:type="gramEnd"/>
      <w:r w:rsidRPr="00CA29B2">
        <w:t xml:space="preserve">. </w:t>
      </w:r>
      <w:r w:rsidR="00333536">
        <w:t>In</w:t>
      </w:r>
      <w:r w:rsidRPr="00CA29B2">
        <w:t xml:space="preserve"> many </w:t>
      </w:r>
      <w:proofErr w:type="gramStart"/>
      <w:r w:rsidRPr="00CA29B2">
        <w:t>instances</w:t>
      </w:r>
      <w:proofErr w:type="gramEnd"/>
      <w:r w:rsidRPr="00CA29B2">
        <w:t xml:space="preserve"> these data represent the best available information, and are therefore the basis for many elements of analysis within this chapter.</w:t>
      </w:r>
    </w:p>
    <w:p w:rsidR="00237A6A" w:rsidRPr="00CA29B2" w:rsidRDefault="00237A6A" w:rsidP="00232BDD">
      <w:pPr>
        <w:tabs>
          <w:tab w:val="left" w:pos="9900"/>
        </w:tabs>
        <w:ind w:left="-720" w:right="-720"/>
      </w:pPr>
      <w:r w:rsidRPr="00CA29B2">
        <w:t xml:space="preserve">This chapter </w:t>
      </w:r>
      <w:proofErr w:type="gramStart"/>
      <w:r w:rsidRPr="00CA29B2">
        <w:t>is intended</w:t>
      </w:r>
      <w:proofErr w:type="gramEnd"/>
      <w:r w:rsidRPr="00CA29B2">
        <w:t xml:space="preserve"> to provide decision makers with the best possible available information for making choices for Newmarket. The above qualifications represent why the best possible information may be neither precise nor accurate enough to arrive at definitive and/or conclusive results. The analyst’s interpretation of these datasets </w:t>
      </w:r>
      <w:proofErr w:type="gramStart"/>
      <w:r w:rsidRPr="00CA29B2">
        <w:t>must be considered</w:t>
      </w:r>
      <w:proofErr w:type="gramEnd"/>
      <w:r w:rsidRPr="00CA29B2">
        <w:t xml:space="preserve"> when reviewing this chapter.</w:t>
      </w:r>
    </w:p>
    <w:p w:rsidR="00232BDD" w:rsidRPr="009128E4" w:rsidRDefault="00232BDD" w:rsidP="00AB7CB5">
      <w:pPr>
        <w:pStyle w:val="Heading2"/>
        <w:ind w:left="0"/>
        <w:sectPr w:rsidR="00232BDD" w:rsidRPr="009128E4" w:rsidSect="00541544">
          <w:pgSz w:w="12240" w:h="15840"/>
          <w:pgMar w:top="1440" w:right="1440" w:bottom="1440" w:left="1440" w:header="180" w:footer="720" w:gutter="0"/>
          <w:pgNumType w:start="4"/>
          <w:cols w:space="720"/>
          <w:docGrid w:linePitch="360"/>
        </w:sectPr>
      </w:pPr>
    </w:p>
    <w:p w:rsidR="00237A6A" w:rsidRPr="009128E4" w:rsidRDefault="00237A6A" w:rsidP="008C5C53">
      <w:pPr>
        <w:pStyle w:val="Heading2"/>
      </w:pPr>
      <w:bookmarkStart w:id="1" w:name="_Toc427316489"/>
      <w:r w:rsidRPr="009128E4">
        <w:lastRenderedPageBreak/>
        <w:t>Geographic Definitions</w:t>
      </w:r>
      <w:bookmarkEnd w:id="1"/>
    </w:p>
    <w:p w:rsidR="00237A6A" w:rsidRPr="00546909" w:rsidRDefault="00237A6A" w:rsidP="00232BDD">
      <w:pPr>
        <w:tabs>
          <w:tab w:val="left" w:pos="9900"/>
        </w:tabs>
        <w:ind w:left="-720" w:right="-720"/>
        <w:rPr>
          <w:sz w:val="18"/>
          <w:szCs w:val="18"/>
        </w:rPr>
        <w:sectPr w:rsidR="00237A6A" w:rsidRPr="00546909" w:rsidSect="00AE456A">
          <w:type w:val="continuous"/>
          <w:pgSz w:w="12240" w:h="15840"/>
          <w:pgMar w:top="1440" w:right="1440" w:bottom="1440" w:left="1440" w:header="180" w:footer="720" w:gutter="0"/>
          <w:cols w:space="720"/>
          <w:docGrid w:linePitch="360"/>
        </w:sectPr>
      </w:pPr>
    </w:p>
    <w:p w:rsidR="00237A6A" w:rsidRPr="001C5F86" w:rsidRDefault="00237A6A" w:rsidP="00575DB0">
      <w:pPr>
        <w:pStyle w:val="Heading3"/>
        <w:ind w:left="-720"/>
        <w:rPr>
          <w:sz w:val="18"/>
          <w:szCs w:val="18"/>
        </w:rPr>
      </w:pPr>
      <w:r w:rsidRPr="001C5F86">
        <w:rPr>
          <w:sz w:val="18"/>
          <w:szCs w:val="18"/>
        </w:rPr>
        <w:lastRenderedPageBreak/>
        <w:t>Strafford Region</w:t>
      </w:r>
    </w:p>
    <w:p w:rsidR="00237A6A" w:rsidRPr="001C5F86" w:rsidRDefault="00237A6A" w:rsidP="00232BDD">
      <w:pPr>
        <w:tabs>
          <w:tab w:val="left" w:pos="9900"/>
        </w:tabs>
        <w:ind w:left="-720" w:right="-720"/>
        <w:rPr>
          <w:sz w:val="18"/>
          <w:szCs w:val="18"/>
        </w:rPr>
      </w:pPr>
      <w:r w:rsidRPr="001C5F86">
        <w:rPr>
          <w:sz w:val="18"/>
          <w:szCs w:val="18"/>
        </w:rPr>
        <w:t xml:space="preserve">The Strafford </w:t>
      </w:r>
      <w:r w:rsidR="009709F2" w:rsidRPr="001C5F86">
        <w:rPr>
          <w:sz w:val="18"/>
          <w:szCs w:val="18"/>
        </w:rPr>
        <w:t>r</w:t>
      </w:r>
      <w:r w:rsidRPr="001C5F86">
        <w:rPr>
          <w:sz w:val="18"/>
          <w:szCs w:val="18"/>
        </w:rPr>
        <w:t>egion is comprised of 18 communities ranging from Wakefield in the north, Northwood to the west, Newmarket to the south, and Rollinsford to the east.</w:t>
      </w:r>
    </w:p>
    <w:p w:rsidR="00AF0742" w:rsidRPr="001C5F86" w:rsidRDefault="00E303A9" w:rsidP="00575DB0">
      <w:pPr>
        <w:pStyle w:val="Heading3"/>
        <w:ind w:left="-720"/>
        <w:rPr>
          <w:sz w:val="18"/>
          <w:szCs w:val="18"/>
        </w:rPr>
      </w:pPr>
      <w:r>
        <w:rPr>
          <w:sz w:val="18"/>
          <w:szCs w:val="18"/>
        </w:rPr>
        <w:t>Portsmouth-</w:t>
      </w:r>
      <w:r w:rsidR="00AF0742" w:rsidRPr="001C5F86">
        <w:rPr>
          <w:sz w:val="18"/>
          <w:szCs w:val="18"/>
        </w:rPr>
        <w:t>Rochester, NH HFMR Area</w:t>
      </w:r>
    </w:p>
    <w:p w:rsidR="00AF0742" w:rsidRPr="00CA29B2" w:rsidRDefault="00000538" w:rsidP="00232BDD">
      <w:pPr>
        <w:tabs>
          <w:tab w:val="left" w:pos="9900"/>
        </w:tabs>
        <w:ind w:left="-720" w:right="-720"/>
      </w:pPr>
      <w:r w:rsidRPr="001C5F86">
        <w:rPr>
          <w:sz w:val="18"/>
          <w:szCs w:val="18"/>
        </w:rPr>
        <w:t>HUD Fair Market Rent Area</w:t>
      </w:r>
      <w:r w:rsidR="00E303A9">
        <w:rPr>
          <w:sz w:val="18"/>
          <w:szCs w:val="18"/>
        </w:rPr>
        <w:t>,</w:t>
      </w:r>
      <w:r w:rsidRPr="001C5F86">
        <w:rPr>
          <w:sz w:val="18"/>
          <w:szCs w:val="18"/>
        </w:rPr>
        <w:t xml:space="preserve"> or H</w:t>
      </w:r>
      <w:r w:rsidR="00AF0742" w:rsidRPr="001C5F86">
        <w:rPr>
          <w:sz w:val="18"/>
          <w:szCs w:val="18"/>
        </w:rPr>
        <w:t>FMR</w:t>
      </w:r>
      <w:r w:rsidR="00E303A9">
        <w:rPr>
          <w:sz w:val="18"/>
          <w:szCs w:val="18"/>
        </w:rPr>
        <w:t>,</w:t>
      </w:r>
      <w:r w:rsidR="00AF0742" w:rsidRPr="001C5F86">
        <w:rPr>
          <w:sz w:val="18"/>
          <w:szCs w:val="18"/>
        </w:rPr>
        <w:t xml:space="preserve"> is </w:t>
      </w:r>
      <w:proofErr w:type="gramStart"/>
      <w:r w:rsidR="00AF0742" w:rsidRPr="001C5F86">
        <w:rPr>
          <w:sz w:val="18"/>
          <w:szCs w:val="18"/>
        </w:rPr>
        <w:t>a HUD</w:t>
      </w:r>
      <w:proofErr w:type="gramEnd"/>
      <w:r w:rsidR="00AF0742" w:rsidRPr="001C5F86">
        <w:rPr>
          <w:sz w:val="18"/>
          <w:szCs w:val="18"/>
        </w:rPr>
        <w:t xml:space="preserve"> housing data analysis geography for use in regional housing analyses. The Portsmouth-Rochester HFMR is comprised </w:t>
      </w:r>
      <w:proofErr w:type="gramStart"/>
      <w:r w:rsidR="00AF0742" w:rsidRPr="001C5F86">
        <w:rPr>
          <w:sz w:val="18"/>
          <w:szCs w:val="18"/>
        </w:rPr>
        <w:t>of:</w:t>
      </w:r>
      <w:proofErr w:type="gramEnd"/>
      <w:r w:rsidR="00AF0742" w:rsidRPr="001C5F86">
        <w:rPr>
          <w:sz w:val="18"/>
          <w:szCs w:val="18"/>
        </w:rPr>
        <w:t xml:space="preserve"> Brentwood, East Kingston, Epping, Exeter, Greenland, Hampton, Hampton Falls, Kensington, New Castle, Newfields, Newington, Newmarket, North Hampton, Portsmouth, Rye, Stratham, Barrington, Dover, Durham, Farmington, Lee, Madbury, Middleton, Milton, New Durham, Rochester, Rollinsford, Somersworth, and Strafford</w:t>
      </w:r>
      <w:r w:rsidR="009709F2" w:rsidRPr="001C5F86">
        <w:rPr>
          <w:sz w:val="18"/>
          <w:szCs w:val="18"/>
        </w:rPr>
        <w:t>.</w:t>
      </w:r>
      <w:r w:rsidR="00AF0742" w:rsidRPr="00CA29B2">
        <w:t xml:space="preserve"> </w:t>
      </w:r>
    </w:p>
    <w:p w:rsidR="00237A6A" w:rsidRPr="00546909" w:rsidRDefault="00237A6A" w:rsidP="00D233D3">
      <w:pPr>
        <w:rPr>
          <w:sz w:val="18"/>
          <w:szCs w:val="18"/>
        </w:rPr>
        <w:sectPr w:rsidR="00237A6A" w:rsidRPr="00546909" w:rsidSect="00AE456A">
          <w:type w:val="continuous"/>
          <w:pgSz w:w="12240" w:h="15840"/>
          <w:pgMar w:top="1440" w:right="1440" w:bottom="1440" w:left="1440" w:header="180" w:footer="720" w:gutter="0"/>
          <w:cols w:space="720"/>
          <w:docGrid w:linePitch="360"/>
        </w:sectPr>
      </w:pPr>
    </w:p>
    <w:p w:rsidR="009E47C7" w:rsidRPr="00575DB0" w:rsidRDefault="009E47C7" w:rsidP="00575DB0">
      <w:pPr>
        <w:pStyle w:val="Heading1"/>
        <w:ind w:left="-720"/>
      </w:pPr>
      <w:bookmarkStart w:id="2" w:name="_Toc427316490"/>
      <w:r w:rsidRPr="00575DB0">
        <w:lastRenderedPageBreak/>
        <w:t>Population Characteristics</w:t>
      </w:r>
      <w:bookmarkEnd w:id="2"/>
    </w:p>
    <w:p w:rsidR="009E47C7" w:rsidRPr="009128E4" w:rsidRDefault="009E47C7" w:rsidP="008C5C53">
      <w:pPr>
        <w:pStyle w:val="Heading2"/>
      </w:pPr>
      <w:bookmarkStart w:id="3" w:name="_Toc427316491"/>
      <w:r w:rsidRPr="009128E4">
        <w:t>Historic Population</w:t>
      </w:r>
      <w:bookmarkEnd w:id="3"/>
    </w:p>
    <w:p w:rsidR="00BD5E8F" w:rsidRPr="00CA29B2" w:rsidRDefault="00BD5E8F" w:rsidP="00232BDD">
      <w:pPr>
        <w:ind w:left="-720" w:right="-630"/>
        <w:rPr>
          <w:color w:val="FF0000"/>
        </w:rPr>
      </w:pPr>
      <w:r w:rsidRPr="00CA29B2">
        <w:t xml:space="preserve">In the years between 1960 and 2010 </w:t>
      </w:r>
      <w:r w:rsidR="00333536">
        <w:t>Newmarket</w:t>
      </w:r>
      <w:r w:rsidRPr="00CA29B2">
        <w:t xml:space="preserve"> </w:t>
      </w:r>
      <w:r w:rsidR="002D58B0" w:rsidRPr="00CA29B2">
        <w:t>grew at rapid, yet consistent pace</w:t>
      </w:r>
      <w:r w:rsidRPr="00CA29B2">
        <w:t xml:space="preserve">. In this </w:t>
      </w:r>
      <w:proofErr w:type="gramStart"/>
      <w:r w:rsidRPr="00CA29B2">
        <w:t>fifty year</w:t>
      </w:r>
      <w:proofErr w:type="gramEnd"/>
      <w:r w:rsidRPr="00CA29B2">
        <w:t xml:space="preserve"> period </w:t>
      </w:r>
      <w:r w:rsidR="002D58B0" w:rsidRPr="00CA29B2">
        <w:t>Newmarket’s</w:t>
      </w:r>
      <w:r w:rsidRPr="00CA29B2">
        <w:t xml:space="preserve"> </w:t>
      </w:r>
      <w:r w:rsidR="00333536">
        <w:t>population increased in total by</w:t>
      </w:r>
      <w:r w:rsidRPr="00CA29B2">
        <w:t xml:space="preserve"> </w:t>
      </w:r>
      <w:r w:rsidR="002D58B0" w:rsidRPr="00CA29B2">
        <w:t>183</w:t>
      </w:r>
      <w:r w:rsidRPr="00CA29B2">
        <w:t>%, an average of 1,</w:t>
      </w:r>
      <w:r w:rsidR="002D58B0" w:rsidRPr="00CA29B2">
        <w:t>157</w:t>
      </w:r>
      <w:r w:rsidRPr="00CA29B2">
        <w:t xml:space="preserve"> residents per d</w:t>
      </w:r>
      <w:r w:rsidR="002D58B0" w:rsidRPr="00CA29B2">
        <w:t>ecade.  Rapid 50-year growth was not unique to Newmarket</w:t>
      </w:r>
      <w:r w:rsidR="009709F2">
        <w:t>.</w:t>
      </w:r>
      <w:r w:rsidRPr="00CA29B2">
        <w:t xml:space="preserve"> </w:t>
      </w:r>
      <w:r w:rsidR="009709F2">
        <w:t>I</w:t>
      </w:r>
      <w:r w:rsidR="002D58B0" w:rsidRPr="00CA29B2">
        <w:t>n the SRPC region and state</w:t>
      </w:r>
      <w:r w:rsidRPr="00CA29B2">
        <w:t xml:space="preserve">, </w:t>
      </w:r>
      <w:r w:rsidR="002D58B0" w:rsidRPr="00CA29B2">
        <w:t>population</w:t>
      </w:r>
      <w:r w:rsidR="00333536">
        <w:t>s</w:t>
      </w:r>
      <w:r w:rsidR="002D58B0" w:rsidRPr="00CA29B2">
        <w:t xml:space="preserve"> grew</w:t>
      </w:r>
      <w:r w:rsidRPr="00CA29B2">
        <w:t xml:space="preserve"> 123% and 117% respectively. </w:t>
      </w:r>
      <w:r w:rsidR="00333536">
        <w:t xml:space="preserve">However, Newmarket and the Seacoast’s greater rate of growth </w:t>
      </w:r>
      <w:r w:rsidR="000C02CA" w:rsidRPr="00CA29B2">
        <w:t xml:space="preserve">placed an </w:t>
      </w:r>
      <w:r w:rsidRPr="00CA29B2">
        <w:t xml:space="preserve">additional strain on the </w:t>
      </w:r>
      <w:r w:rsidR="00333536">
        <w:t>communities</w:t>
      </w:r>
      <w:r w:rsidRPr="00CA29B2">
        <w:t xml:space="preserve"> to provide services for a rapidly increasing population.</w:t>
      </w:r>
    </w:p>
    <w:p w:rsidR="000B4C2B" w:rsidRPr="00546909" w:rsidRDefault="00E303A9" w:rsidP="00232BDD">
      <w:pPr>
        <w:ind w:left="-720" w:right="-630"/>
        <w:rPr>
          <w:rFonts w:asciiTheme="majorHAnsi" w:eastAsiaTheme="majorEastAsia" w:hAnsiTheme="majorHAnsi" w:cstheme="majorBidi"/>
          <w:color w:val="4A442A" w:themeColor="background2" w:themeShade="40"/>
          <w:sz w:val="18"/>
          <w:szCs w:val="18"/>
        </w:rPr>
      </w:pPr>
      <w:r>
        <w:rPr>
          <w:noProof/>
          <w:sz w:val="18"/>
          <w:szCs w:val="18"/>
        </w:rPr>
        <mc:AlternateContent>
          <mc:Choice Requires="wpg">
            <w:drawing>
              <wp:anchor distT="0" distB="0" distL="114300" distR="114300" simplePos="0" relativeHeight="251659264" behindDoc="0" locked="0" layoutInCell="1" allowOverlap="1">
                <wp:simplePos x="0" y="0"/>
                <wp:positionH relativeFrom="column">
                  <wp:posOffset>-446314</wp:posOffset>
                </wp:positionH>
                <wp:positionV relativeFrom="paragraph">
                  <wp:posOffset>393246</wp:posOffset>
                </wp:positionV>
                <wp:extent cx="6879771" cy="5900058"/>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879771" cy="5900058"/>
                          <a:chOff x="0" y="0"/>
                          <a:chExt cx="6879771" cy="5900058"/>
                        </a:xfrm>
                      </wpg:grpSpPr>
                      <wpg:graphicFrame>
                        <wpg:cNvPr id="13" name="Chart 13"/>
                        <wpg:cNvFrPr/>
                        <wpg:xfrm>
                          <a:off x="0" y="0"/>
                          <a:ext cx="6879771" cy="2318658"/>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4" name="Chart 14"/>
                        <wpg:cNvFrPr/>
                        <wpg:xfrm>
                          <a:off x="0" y="2231572"/>
                          <a:ext cx="6879771" cy="1883228"/>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5" name="Chart 15"/>
                        <wpg:cNvFrPr/>
                        <wpg:xfrm>
                          <a:off x="0" y="4016829"/>
                          <a:ext cx="6879771" cy="1883229"/>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anchor>
            </w:drawing>
          </mc:Choice>
          <mc:Fallback>
            <w:pict>
              <v:group id="Group 3" o:spid="_x0000_s1026" style="position:absolute;margin-left:-35.15pt;margin-top:30.95pt;width:541.7pt;height:464.55pt;z-index:251659264" coordsize="68797,59000" o:gfxdata="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&#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1767;top:426;width:66934;height:217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">
                  <v:imagedata r:id="rId20" o:title=""/>
                  <o:lock v:ext="edit" aspectratio="f"/>
                </v:shape>
                <v:shape id="Chart 14" o:spid="_x0000_s1028" type="#_x0000_t75" style="position:absolute;left:1767;top:23103;width:65654;height:170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">
                  <v:imagedata r:id="rId21" o:title=""/>
                  <o:lock v:ext="edit" aspectratio="f"/>
                </v:shape>
                <v:shape id="Chart 15" o:spid="_x0000_s1029" type="#_x0000_t75" style="position:absolute;top:40172;width:68823;height:188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">
                  <v:imagedata r:id="rId22" o:title=""/>
                  <o:lock v:ext="edit" aspectratio="f"/>
                </v:shape>
                <w10:wrap type="square"/>
              </v:group>
            </w:pict>
          </mc:Fallback>
        </mc:AlternateContent>
      </w:r>
      <w:r w:rsidR="000B4C2B" w:rsidRPr="00546909">
        <w:rPr>
          <w:sz w:val="18"/>
          <w:szCs w:val="18"/>
        </w:rPr>
        <w:br w:type="page"/>
      </w:r>
    </w:p>
    <w:p w:rsidR="009E47C7" w:rsidRPr="009128E4" w:rsidRDefault="009E47C7" w:rsidP="008C5C53">
      <w:pPr>
        <w:pStyle w:val="Heading2"/>
      </w:pPr>
      <w:bookmarkStart w:id="4" w:name="_Toc427316492"/>
      <w:r w:rsidRPr="009128E4">
        <w:lastRenderedPageBreak/>
        <w:t>Population Projections</w:t>
      </w:r>
      <w:bookmarkEnd w:id="4"/>
    </w:p>
    <w:p w:rsidR="003C0A43" w:rsidRPr="00CA29B2" w:rsidRDefault="003C0A43" w:rsidP="00232BDD">
      <w:pPr>
        <w:ind w:left="-720" w:right="-720"/>
      </w:pPr>
      <w:r w:rsidRPr="00CA29B2">
        <w:rPr>
          <w:noProof/>
        </w:rPr>
        <mc:AlternateContent>
          <mc:Choice Requires="wps">
            <w:drawing>
              <wp:anchor distT="0" distB="0" distL="114300" distR="114300" simplePos="0" relativeHeight="251661312" behindDoc="0" locked="0" layoutInCell="1" allowOverlap="1" wp14:anchorId="29B2C762" wp14:editId="4A97BC03">
                <wp:simplePos x="0" y="0"/>
                <wp:positionH relativeFrom="column">
                  <wp:posOffset>4092575</wp:posOffset>
                </wp:positionH>
                <wp:positionV relativeFrom="paragraph">
                  <wp:posOffset>20320</wp:posOffset>
                </wp:positionV>
                <wp:extent cx="2590800" cy="7197725"/>
                <wp:effectExtent l="38100" t="38100" r="95250" b="9842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19772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9A5582" w:rsidRPr="003C0A43" w:rsidRDefault="009A5582" w:rsidP="00D233D3">
                            <w:pPr>
                              <w:rPr>
                                <w:b/>
                                <w:sz w:val="16"/>
                                <w:szCs w:val="16"/>
                              </w:rPr>
                            </w:pPr>
                            <w:r w:rsidRPr="003C0A43">
                              <w:rPr>
                                <w:b/>
                                <w:sz w:val="16"/>
                                <w:szCs w:val="16"/>
                              </w:rPr>
                              <w:t>Methodology: Municipal Population Projections</w:t>
                            </w:r>
                          </w:p>
                          <w:p w:rsidR="009A5582" w:rsidRPr="003C0A43" w:rsidRDefault="009A5582" w:rsidP="00D233D3">
                            <w:pPr>
                              <w:rPr>
                                <w:i/>
                                <w:sz w:val="16"/>
                                <w:szCs w:val="16"/>
                              </w:rPr>
                            </w:pPr>
                            <w:r w:rsidRPr="003C0A43">
                              <w:rPr>
                                <w:i/>
                                <w:sz w:val="16"/>
                                <w:szCs w:val="16"/>
                              </w:rPr>
                              <w:t xml:space="preserve">The projections </w:t>
                            </w:r>
                            <w:proofErr w:type="gramStart"/>
                            <w:r w:rsidRPr="003C0A43">
                              <w:rPr>
                                <w:i/>
                                <w:sz w:val="16"/>
                                <w:szCs w:val="16"/>
                              </w:rPr>
                              <w:t>are done</w:t>
                            </w:r>
                            <w:proofErr w:type="gramEnd"/>
                            <w:r w:rsidRPr="003C0A43">
                              <w:rPr>
                                <w:i/>
                                <w:sz w:val="16"/>
                                <w:szCs w:val="16"/>
                              </w:rPr>
                              <w:t xml:space="preserve"> in five-year intervals, and are consistent with the county population projections in the report titled: State of New Hampshire, Regional Planning Commissions, </w:t>
                            </w:r>
                            <w:r>
                              <w:rPr>
                                <w:i/>
                                <w:sz w:val="16"/>
                                <w:szCs w:val="16"/>
                              </w:rPr>
                              <w:t>Office of Energy and Planning - County Population</w:t>
                            </w:r>
                            <w:r w:rsidRPr="003C0A43">
                              <w:rPr>
                                <w:i/>
                                <w:sz w:val="16"/>
                                <w:szCs w:val="16"/>
                              </w:rPr>
                              <w:t xml:space="preserve"> Projections, 2013 By Age and Sex.</w:t>
                            </w:r>
                          </w:p>
                          <w:p w:rsidR="009A5582" w:rsidRPr="003C0A43" w:rsidRDefault="009A5582" w:rsidP="00D233D3">
                            <w:pPr>
                              <w:rPr>
                                <w:i/>
                                <w:sz w:val="16"/>
                                <w:szCs w:val="16"/>
                              </w:rPr>
                            </w:pPr>
                            <w:r w:rsidRPr="003C0A43">
                              <w:rPr>
                                <w:i/>
                                <w:sz w:val="16"/>
                                <w:szCs w:val="16"/>
                              </w:rPr>
                              <w:t xml:space="preserve">The method used to develop these municipal level projections starts with the above forecast for total population for each county in New Hampshire. Because these numbers are controlled to the county and state projections, these numbers are considered reasonable </w:t>
                            </w:r>
                            <w:proofErr w:type="gramStart"/>
                            <w:r w:rsidRPr="003C0A43">
                              <w:rPr>
                                <w:i/>
                                <w:sz w:val="16"/>
                                <w:szCs w:val="16"/>
                              </w:rPr>
                              <w:t>in the aggregate</w:t>
                            </w:r>
                            <w:proofErr w:type="gramEnd"/>
                            <w:r w:rsidRPr="003C0A43">
                              <w:rPr>
                                <w:i/>
                                <w:sz w:val="16"/>
                                <w:szCs w:val="16"/>
                              </w:rPr>
                              <w:t xml:space="preserve"> as well as at the local level.</w:t>
                            </w:r>
                          </w:p>
                          <w:p w:rsidR="009A5582" w:rsidRPr="003C0A43" w:rsidRDefault="009A5582" w:rsidP="00D233D3">
                            <w:pPr>
                              <w:rPr>
                                <w:i/>
                                <w:sz w:val="16"/>
                                <w:szCs w:val="16"/>
                              </w:rPr>
                            </w:pPr>
                            <w:r w:rsidRPr="003C0A43">
                              <w:rPr>
                                <w:i/>
                                <w:sz w:val="16"/>
                                <w:szCs w:val="16"/>
                              </w:rPr>
                              <w:t>Next, the town/city share of county population in the 2010 Census (with the Census revisions) was developed and compared to the 2000 Census share of county population for each town/city in that county.</w:t>
                            </w:r>
                          </w:p>
                          <w:p w:rsidR="009A5582" w:rsidRPr="003C0A43" w:rsidRDefault="009A5582" w:rsidP="00D233D3">
                            <w:pPr>
                              <w:rPr>
                                <w:i/>
                                <w:sz w:val="16"/>
                                <w:szCs w:val="16"/>
                              </w:rPr>
                            </w:pPr>
                            <w:r w:rsidRPr="003C0A43">
                              <w:rPr>
                                <w:i/>
                                <w:sz w:val="16"/>
                                <w:szCs w:val="16"/>
                              </w:rPr>
                              <w:t xml:space="preserve">This analysis revealed that the share of each municipality’s population (relative to the county) has been changing over time. To confirm the observed trend, municipal shares of the county population </w:t>
                            </w:r>
                            <w:proofErr w:type="gramStart"/>
                            <w:r w:rsidRPr="003C0A43">
                              <w:rPr>
                                <w:i/>
                                <w:sz w:val="16"/>
                                <w:szCs w:val="16"/>
                              </w:rPr>
                              <w:t>were examined</w:t>
                            </w:r>
                            <w:proofErr w:type="gramEnd"/>
                            <w:r w:rsidRPr="003C0A43">
                              <w:rPr>
                                <w:i/>
                                <w:sz w:val="16"/>
                                <w:szCs w:val="16"/>
                              </w:rPr>
                              <w:t xml:space="preserve"> for the Census years 1970, 1980, and 1990. That analysis confirmed the observed trend in changing shares over time.</w:t>
                            </w:r>
                          </w:p>
                          <w:p w:rsidR="009A5582" w:rsidRPr="003C0A43" w:rsidRDefault="009A5582" w:rsidP="00D233D3">
                            <w:pPr>
                              <w:rPr>
                                <w:i/>
                                <w:sz w:val="16"/>
                                <w:szCs w:val="16"/>
                              </w:rPr>
                            </w:pPr>
                            <w:r w:rsidRPr="003C0A43">
                              <w:rPr>
                                <w:i/>
                                <w:sz w:val="16"/>
                                <w:szCs w:val="16"/>
                              </w:rPr>
                              <w:t>The methodology used to allocate the county population projections to the municipalities assumes that the 2000 to 2010 shift in share (municipality as a share of the county) will continue into the year 2020. The method attempts to account for a community’s share of the county’s recent population change, rather than assuming an unchanging share of the county’s total population.</w:t>
                            </w:r>
                          </w:p>
                          <w:p w:rsidR="009A5582" w:rsidRPr="003C0A43" w:rsidRDefault="009A5582" w:rsidP="00D233D3">
                            <w:pPr>
                              <w:rPr>
                                <w:i/>
                                <w:sz w:val="16"/>
                                <w:szCs w:val="16"/>
                              </w:rPr>
                            </w:pPr>
                            <w:r w:rsidRPr="003C0A43">
                              <w:rPr>
                                <w:i/>
                                <w:sz w:val="16"/>
                                <w:szCs w:val="16"/>
                              </w:rPr>
                              <w:t xml:space="preserve">Next, that share of the municipality’s population relative to the county’s population is frozen at the 2020 share level (held constant) through the remaining </w:t>
                            </w:r>
                            <w:proofErr w:type="gramStart"/>
                            <w:r w:rsidRPr="003C0A43">
                              <w:rPr>
                                <w:i/>
                                <w:sz w:val="16"/>
                                <w:szCs w:val="16"/>
                              </w:rPr>
                              <w:t>20 year</w:t>
                            </w:r>
                            <w:proofErr w:type="gramEnd"/>
                            <w:r w:rsidRPr="003C0A43">
                              <w:rPr>
                                <w:i/>
                                <w:sz w:val="16"/>
                                <w:szCs w:val="16"/>
                              </w:rPr>
                              <w:t xml:space="preserve"> projection period (2020 to 2040).</w:t>
                            </w:r>
                          </w:p>
                          <w:p w:rsidR="009A5582" w:rsidRPr="003C0A43" w:rsidRDefault="009A5582" w:rsidP="003C0A43">
                            <w:pPr>
                              <w:jc w:val="right"/>
                              <w:rPr>
                                <w:sz w:val="12"/>
                                <w:szCs w:val="12"/>
                              </w:rPr>
                            </w:pPr>
                            <w:r w:rsidRPr="003C0A43">
                              <w:rPr>
                                <w:sz w:val="12"/>
                                <w:szCs w:val="12"/>
                              </w:rPr>
                              <w:t>Source: NH Office of Energy and Planning</w:t>
                            </w:r>
                          </w:p>
                          <w:p w:rsidR="009A5582" w:rsidRDefault="009A5582" w:rsidP="00D233D3"/>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2.25pt;margin-top:1.6pt;width:204pt;height:5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" fillcolor="#bfbfbf" stroked="f">
                <v:shadow on="t" color="black" opacity="26214f" origin="-.5,-.5" offset=".74836mm,.74836mm"/>
                <v:textbox>
                  <w:txbxContent>
                    <w:p w:rsidR="009A5582" w:rsidRPr="003C0A43" w:rsidRDefault="009A5582" w:rsidP="00D233D3">
                      <w:pPr>
                        <w:rPr>
                          <w:b/>
                          <w:sz w:val="16"/>
                          <w:szCs w:val="16"/>
                        </w:rPr>
                      </w:pPr>
                      <w:r w:rsidRPr="003C0A43">
                        <w:rPr>
                          <w:b/>
                          <w:sz w:val="16"/>
                          <w:szCs w:val="16"/>
                        </w:rPr>
                        <w:t>Methodology: Municipal Population Projections</w:t>
                      </w:r>
                    </w:p>
                    <w:p w:rsidR="009A5582" w:rsidRPr="003C0A43" w:rsidRDefault="009A5582" w:rsidP="00D233D3">
                      <w:pPr>
                        <w:rPr>
                          <w:i/>
                          <w:sz w:val="16"/>
                          <w:szCs w:val="16"/>
                        </w:rPr>
                      </w:pPr>
                      <w:r w:rsidRPr="003C0A43">
                        <w:rPr>
                          <w:i/>
                          <w:sz w:val="16"/>
                          <w:szCs w:val="16"/>
                        </w:rPr>
                        <w:t xml:space="preserve">The projections </w:t>
                      </w:r>
                      <w:proofErr w:type="gramStart"/>
                      <w:r w:rsidRPr="003C0A43">
                        <w:rPr>
                          <w:i/>
                          <w:sz w:val="16"/>
                          <w:szCs w:val="16"/>
                        </w:rPr>
                        <w:t>are done</w:t>
                      </w:r>
                      <w:proofErr w:type="gramEnd"/>
                      <w:r w:rsidRPr="003C0A43">
                        <w:rPr>
                          <w:i/>
                          <w:sz w:val="16"/>
                          <w:szCs w:val="16"/>
                        </w:rPr>
                        <w:t xml:space="preserve"> in five-year intervals, and are consistent with the county population projections in the report titled: State of New Hampshire, Regional Planning Commissions, </w:t>
                      </w:r>
                      <w:r>
                        <w:rPr>
                          <w:i/>
                          <w:sz w:val="16"/>
                          <w:szCs w:val="16"/>
                        </w:rPr>
                        <w:t>Office of Energy and Planning - County Population</w:t>
                      </w:r>
                      <w:r w:rsidRPr="003C0A43">
                        <w:rPr>
                          <w:i/>
                          <w:sz w:val="16"/>
                          <w:szCs w:val="16"/>
                        </w:rPr>
                        <w:t xml:space="preserve"> Projections, 2013 By Age and Sex.</w:t>
                      </w:r>
                    </w:p>
                    <w:p w:rsidR="009A5582" w:rsidRPr="003C0A43" w:rsidRDefault="009A5582" w:rsidP="00D233D3">
                      <w:pPr>
                        <w:rPr>
                          <w:i/>
                          <w:sz w:val="16"/>
                          <w:szCs w:val="16"/>
                        </w:rPr>
                      </w:pPr>
                      <w:r w:rsidRPr="003C0A43">
                        <w:rPr>
                          <w:i/>
                          <w:sz w:val="16"/>
                          <w:szCs w:val="16"/>
                        </w:rPr>
                        <w:t xml:space="preserve">The method used to develop these municipal level projections starts with the above forecast for total population for each county in New Hampshire. Because these numbers are controlled to the county and state projections, these numbers are considered reasonable </w:t>
                      </w:r>
                      <w:proofErr w:type="gramStart"/>
                      <w:r w:rsidRPr="003C0A43">
                        <w:rPr>
                          <w:i/>
                          <w:sz w:val="16"/>
                          <w:szCs w:val="16"/>
                        </w:rPr>
                        <w:t>in the aggregate</w:t>
                      </w:r>
                      <w:proofErr w:type="gramEnd"/>
                      <w:r w:rsidRPr="003C0A43">
                        <w:rPr>
                          <w:i/>
                          <w:sz w:val="16"/>
                          <w:szCs w:val="16"/>
                        </w:rPr>
                        <w:t xml:space="preserve"> as well as at the local level.</w:t>
                      </w:r>
                    </w:p>
                    <w:p w:rsidR="009A5582" w:rsidRPr="003C0A43" w:rsidRDefault="009A5582" w:rsidP="00D233D3">
                      <w:pPr>
                        <w:rPr>
                          <w:i/>
                          <w:sz w:val="16"/>
                          <w:szCs w:val="16"/>
                        </w:rPr>
                      </w:pPr>
                      <w:r w:rsidRPr="003C0A43">
                        <w:rPr>
                          <w:i/>
                          <w:sz w:val="16"/>
                          <w:szCs w:val="16"/>
                        </w:rPr>
                        <w:t>Next, the town/city share of county population in the 2010 Census (with the Census revisions) was developed and compared to the 2000 Census share of county population for each town/city in that county.</w:t>
                      </w:r>
                    </w:p>
                    <w:p w:rsidR="009A5582" w:rsidRPr="003C0A43" w:rsidRDefault="009A5582" w:rsidP="00D233D3">
                      <w:pPr>
                        <w:rPr>
                          <w:i/>
                          <w:sz w:val="16"/>
                          <w:szCs w:val="16"/>
                        </w:rPr>
                      </w:pPr>
                      <w:r w:rsidRPr="003C0A43">
                        <w:rPr>
                          <w:i/>
                          <w:sz w:val="16"/>
                          <w:szCs w:val="16"/>
                        </w:rPr>
                        <w:t xml:space="preserve">This analysis revealed that the share of each municipality’s population (relative to the county) has been changing over time. To confirm the observed trend, municipal shares of the county population </w:t>
                      </w:r>
                      <w:proofErr w:type="gramStart"/>
                      <w:r w:rsidRPr="003C0A43">
                        <w:rPr>
                          <w:i/>
                          <w:sz w:val="16"/>
                          <w:szCs w:val="16"/>
                        </w:rPr>
                        <w:t>were examined</w:t>
                      </w:r>
                      <w:proofErr w:type="gramEnd"/>
                      <w:r w:rsidRPr="003C0A43">
                        <w:rPr>
                          <w:i/>
                          <w:sz w:val="16"/>
                          <w:szCs w:val="16"/>
                        </w:rPr>
                        <w:t xml:space="preserve"> for the Census years 1970, 1980, and 1990. That analysis confirmed the observed trend in changing shares over time.</w:t>
                      </w:r>
                    </w:p>
                    <w:p w:rsidR="009A5582" w:rsidRPr="003C0A43" w:rsidRDefault="009A5582" w:rsidP="00D233D3">
                      <w:pPr>
                        <w:rPr>
                          <w:i/>
                          <w:sz w:val="16"/>
                          <w:szCs w:val="16"/>
                        </w:rPr>
                      </w:pPr>
                      <w:r w:rsidRPr="003C0A43">
                        <w:rPr>
                          <w:i/>
                          <w:sz w:val="16"/>
                          <w:szCs w:val="16"/>
                        </w:rPr>
                        <w:t>The methodology used to allocate the county population projections to the municipalities assumes that the 2000 to 2010 shift in share (municipality as a share of the county) will continue into the year 2020. The method attempts to account for a community’s share of the county’s recent population change, rather than assuming an unchanging share of the county’s total population.</w:t>
                      </w:r>
                    </w:p>
                    <w:p w:rsidR="009A5582" w:rsidRPr="003C0A43" w:rsidRDefault="009A5582" w:rsidP="00D233D3">
                      <w:pPr>
                        <w:rPr>
                          <w:i/>
                          <w:sz w:val="16"/>
                          <w:szCs w:val="16"/>
                        </w:rPr>
                      </w:pPr>
                      <w:r w:rsidRPr="003C0A43">
                        <w:rPr>
                          <w:i/>
                          <w:sz w:val="16"/>
                          <w:szCs w:val="16"/>
                        </w:rPr>
                        <w:t xml:space="preserve">Next, that share of the municipality’s population relative to the county’s population is frozen at the 2020 share level (held constant) through the remaining </w:t>
                      </w:r>
                      <w:proofErr w:type="gramStart"/>
                      <w:r w:rsidRPr="003C0A43">
                        <w:rPr>
                          <w:i/>
                          <w:sz w:val="16"/>
                          <w:szCs w:val="16"/>
                        </w:rPr>
                        <w:t>20 year</w:t>
                      </w:r>
                      <w:proofErr w:type="gramEnd"/>
                      <w:r w:rsidRPr="003C0A43">
                        <w:rPr>
                          <w:i/>
                          <w:sz w:val="16"/>
                          <w:szCs w:val="16"/>
                        </w:rPr>
                        <w:t xml:space="preserve"> projection period (2020 to 2040).</w:t>
                      </w:r>
                    </w:p>
                    <w:p w:rsidR="009A5582" w:rsidRPr="003C0A43" w:rsidRDefault="009A5582" w:rsidP="003C0A43">
                      <w:pPr>
                        <w:jc w:val="right"/>
                        <w:rPr>
                          <w:sz w:val="12"/>
                          <w:szCs w:val="12"/>
                        </w:rPr>
                      </w:pPr>
                      <w:r w:rsidRPr="003C0A43">
                        <w:rPr>
                          <w:sz w:val="12"/>
                          <w:szCs w:val="12"/>
                        </w:rPr>
                        <w:t>Source: NH Office of Energy and Planning</w:t>
                      </w:r>
                    </w:p>
                    <w:p w:rsidR="009A5582" w:rsidRDefault="009A5582" w:rsidP="00D233D3"/>
                  </w:txbxContent>
                </v:textbox>
                <w10:wrap type="square"/>
              </v:shape>
            </w:pict>
          </mc:Fallback>
        </mc:AlternateContent>
      </w:r>
      <w:r w:rsidRPr="00CA29B2">
        <w:t xml:space="preserve">Population projections are </w:t>
      </w:r>
      <w:r w:rsidR="009709F2">
        <w:t>vital to</w:t>
      </w:r>
      <w:r w:rsidR="00332C41">
        <w:t xml:space="preserve"> </w:t>
      </w:r>
      <w:r w:rsidR="00F4585A" w:rsidRPr="00CA29B2">
        <w:t>understanding</w:t>
      </w:r>
      <w:r w:rsidR="00332C41">
        <w:t xml:space="preserve"> potential</w:t>
      </w:r>
      <w:r w:rsidRPr="00CA29B2">
        <w:t xml:space="preserve"> future demand</w:t>
      </w:r>
      <w:r w:rsidR="00F4585A" w:rsidRPr="00CA29B2">
        <w:t>s</w:t>
      </w:r>
      <w:r w:rsidRPr="00CA29B2">
        <w:t xml:space="preserve"> </w:t>
      </w:r>
      <w:r w:rsidR="009709F2">
        <w:t>for</w:t>
      </w:r>
      <w:r w:rsidRPr="00CA29B2">
        <w:t xml:space="preserve"> housing, infrastructure, and services within a community. The </w:t>
      </w:r>
      <w:r w:rsidR="009709F2">
        <w:t xml:space="preserve">NH </w:t>
      </w:r>
      <w:r w:rsidRPr="00CA29B2">
        <w:t xml:space="preserve">Office of Energy and Planning, in partnership with New Hampshire’s nine Regional Planning Commissions, completed population projections in the spring of 2014 on both a county and municipal level through year 2040. The methodology for these projections </w:t>
      </w:r>
      <w:proofErr w:type="gramStart"/>
      <w:r w:rsidRPr="00CA29B2">
        <w:t>can be found</w:t>
      </w:r>
      <w:proofErr w:type="gramEnd"/>
      <w:r w:rsidRPr="00CA29B2">
        <w:t xml:space="preserve"> at right.</w:t>
      </w:r>
    </w:p>
    <w:p w:rsidR="003C0A43" w:rsidRPr="00546909" w:rsidRDefault="003C0A43" w:rsidP="00232BDD">
      <w:pPr>
        <w:ind w:left="-720" w:right="-720"/>
        <w:rPr>
          <w:sz w:val="18"/>
          <w:szCs w:val="18"/>
        </w:rPr>
      </w:pPr>
      <w:r w:rsidRPr="00CA29B2">
        <w:t xml:space="preserve">These projections estimate that </w:t>
      </w:r>
      <w:r w:rsidR="0020348C" w:rsidRPr="00CA29B2">
        <w:t>Newmarket</w:t>
      </w:r>
      <w:r w:rsidRPr="00CA29B2">
        <w:t xml:space="preserve"> </w:t>
      </w:r>
      <w:proofErr w:type="gramStart"/>
      <w:r w:rsidRPr="00CA29B2">
        <w:t>is expected</w:t>
      </w:r>
      <w:proofErr w:type="gramEnd"/>
      <w:r w:rsidRPr="00CA29B2">
        <w:t xml:space="preserve"> to grow by an average of </w:t>
      </w:r>
      <w:r w:rsidR="0020348C" w:rsidRPr="00CA29B2">
        <w:t>405</w:t>
      </w:r>
      <w:r w:rsidRPr="00CA29B2">
        <w:t xml:space="preserve"> residents per decade through 2040. Between 2010 and 2040, this will result in an overall </w:t>
      </w:r>
      <w:r w:rsidR="0020348C" w:rsidRPr="00CA29B2">
        <w:t xml:space="preserve">population </w:t>
      </w:r>
      <w:r w:rsidRPr="00CA29B2">
        <w:t xml:space="preserve">growth of </w:t>
      </w:r>
      <w:r w:rsidR="0020348C" w:rsidRPr="00CA29B2">
        <w:t>14%</w:t>
      </w:r>
      <w:r w:rsidR="001C2316">
        <w:t xml:space="preserve"> (1,214 in total)</w:t>
      </w:r>
      <w:r w:rsidR="0020348C" w:rsidRPr="00CA29B2">
        <w:t xml:space="preserve">, </w:t>
      </w:r>
      <w:r w:rsidRPr="00CA29B2">
        <w:t xml:space="preserve">nearly twice the projected rate for the </w:t>
      </w:r>
      <w:r w:rsidR="00D56819">
        <w:t>S</w:t>
      </w:r>
      <w:r w:rsidRPr="00CA29B2">
        <w:t xml:space="preserve">tate of New Hampshire. On a </w:t>
      </w:r>
      <w:r w:rsidR="00332C41">
        <w:t>larger</w:t>
      </w:r>
      <w:r w:rsidRPr="00CA29B2">
        <w:t xml:space="preserve"> </w:t>
      </w:r>
      <w:r w:rsidR="00332C41">
        <w:t>scale</w:t>
      </w:r>
      <w:r w:rsidRPr="00CA29B2">
        <w:t xml:space="preserve">, the Strafford region is and will continue to be the fastest growing region in the state, and is expected to grow on pace with </w:t>
      </w:r>
      <w:r w:rsidR="0020348C" w:rsidRPr="00CA29B2">
        <w:t>Newmarket</w:t>
      </w:r>
      <w:r w:rsidRPr="00CA29B2">
        <w:t>, a 13% increase in the 30-year projection period.</w:t>
      </w:r>
      <w:r w:rsidR="00101179">
        <w:t xml:space="preserve"> It</w:t>
      </w:r>
      <w:r w:rsidR="00964CE7" w:rsidRPr="00CA29B2">
        <w:t xml:space="preserve"> </w:t>
      </w:r>
      <w:proofErr w:type="gramStart"/>
      <w:r w:rsidR="00964CE7" w:rsidRPr="00CA29B2">
        <w:t>should be noted</w:t>
      </w:r>
      <w:proofErr w:type="gramEnd"/>
      <w:r w:rsidR="00964CE7" w:rsidRPr="00CA29B2">
        <w:t xml:space="preserve"> that in the 5-year period between 2035 and 2040</w:t>
      </w:r>
      <w:r w:rsidR="00332C41">
        <w:t>,</w:t>
      </w:r>
      <w:r w:rsidR="00964CE7" w:rsidRPr="00CA29B2">
        <w:t xml:space="preserve"> </w:t>
      </w:r>
      <w:r w:rsidR="00332C41">
        <w:t>Newmarket’s</w:t>
      </w:r>
      <w:r w:rsidR="00964CE7" w:rsidRPr="00CA29B2">
        <w:t xml:space="preserve"> population is expected to decrease</w:t>
      </w:r>
      <w:r w:rsidR="00964CE7" w:rsidRPr="00546909">
        <w:rPr>
          <w:sz w:val="18"/>
          <w:szCs w:val="18"/>
        </w:rPr>
        <w:t>.</w:t>
      </w:r>
    </w:p>
    <w:p w:rsidR="000B4C2B" w:rsidRPr="00546909" w:rsidRDefault="00232BDD" w:rsidP="00D233D3">
      <w:pPr>
        <w:rPr>
          <w:sz w:val="18"/>
          <w:szCs w:val="18"/>
        </w:rPr>
      </w:pPr>
      <w:r w:rsidRPr="00546909">
        <w:rPr>
          <w:noProof/>
          <w:sz w:val="18"/>
          <w:szCs w:val="18"/>
        </w:rPr>
        <w:drawing>
          <wp:anchor distT="0" distB="0" distL="114300" distR="114300" simplePos="0" relativeHeight="251664384" behindDoc="0" locked="0" layoutInCell="1" allowOverlap="1" wp14:anchorId="3A14AEE2" wp14:editId="4685EE3D">
            <wp:simplePos x="0" y="0"/>
            <wp:positionH relativeFrom="column">
              <wp:posOffset>-748665</wp:posOffset>
            </wp:positionH>
            <wp:positionV relativeFrom="paragraph">
              <wp:posOffset>129540</wp:posOffset>
            </wp:positionV>
            <wp:extent cx="4726305" cy="376428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232BDD" w:rsidRPr="00546909" w:rsidRDefault="00232BDD">
      <w:pPr>
        <w:jc w:val="left"/>
        <w:rPr>
          <w:rFonts w:eastAsiaTheme="majorEastAsia" w:cstheme="majorBidi"/>
          <w:b/>
          <w:bCs/>
          <w:color w:val="4A442A" w:themeColor="background2" w:themeShade="40"/>
          <w:sz w:val="18"/>
          <w:szCs w:val="18"/>
        </w:rPr>
      </w:pPr>
      <w:r w:rsidRPr="00546909">
        <w:rPr>
          <w:sz w:val="18"/>
          <w:szCs w:val="18"/>
        </w:rPr>
        <w:br w:type="page"/>
      </w:r>
    </w:p>
    <w:p w:rsidR="00113B81" w:rsidRPr="009128E4" w:rsidRDefault="00022250" w:rsidP="008C5C53">
      <w:pPr>
        <w:pStyle w:val="Heading2"/>
      </w:pPr>
      <w:bookmarkStart w:id="5" w:name="_Toc427316493"/>
      <w:r w:rsidRPr="00546909">
        <w:rPr>
          <w:noProof/>
          <w:sz w:val="18"/>
          <w:szCs w:val="18"/>
        </w:rPr>
        <w:lastRenderedPageBreak/>
        <w:drawing>
          <wp:anchor distT="0" distB="0" distL="114300" distR="114300" simplePos="0" relativeHeight="251686912" behindDoc="0" locked="0" layoutInCell="1" allowOverlap="1" wp14:anchorId="1B1187B5" wp14:editId="0A8FF3AA">
            <wp:simplePos x="0" y="0"/>
            <wp:positionH relativeFrom="column">
              <wp:posOffset>2306320</wp:posOffset>
            </wp:positionH>
            <wp:positionV relativeFrom="paragraph">
              <wp:posOffset>165100</wp:posOffset>
            </wp:positionV>
            <wp:extent cx="4448810" cy="3097530"/>
            <wp:effectExtent l="0" t="0" r="0" b="762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9E47C7" w:rsidRPr="009128E4">
        <w:t>Age Cohorts</w:t>
      </w:r>
      <w:bookmarkEnd w:id="5"/>
    </w:p>
    <w:p w:rsidR="000B5171" w:rsidRPr="00BF6726" w:rsidRDefault="000B5171" w:rsidP="00BF6726">
      <w:pPr>
        <w:pStyle w:val="Heading3"/>
        <w:ind w:left="-720"/>
      </w:pPr>
      <w:r w:rsidRPr="00BF6726">
        <w:t>Overall Trends</w:t>
      </w:r>
    </w:p>
    <w:p w:rsidR="000B5171" w:rsidRPr="00CA29B2" w:rsidRDefault="00F4585A" w:rsidP="000B5171">
      <w:pPr>
        <w:tabs>
          <w:tab w:val="left" w:pos="9000"/>
          <w:tab w:val="left" w:pos="9900"/>
        </w:tabs>
        <w:ind w:left="-720" w:right="-720"/>
      </w:pPr>
      <w:r w:rsidRPr="00CA29B2">
        <w:t xml:space="preserve">In the </w:t>
      </w:r>
      <w:r w:rsidR="00C95FDB">
        <w:t>two decades</w:t>
      </w:r>
      <w:r w:rsidRPr="00CA29B2">
        <w:t xml:space="preserve"> between 1990 and 2010</w:t>
      </w:r>
      <w:r w:rsidR="00C95FDB">
        <w:t>,</w:t>
      </w:r>
      <w:r w:rsidRPr="00CA29B2">
        <w:t xml:space="preserve"> t</w:t>
      </w:r>
      <w:r w:rsidR="000B5171" w:rsidRPr="00CA29B2">
        <w:t>wo</w:t>
      </w:r>
      <w:r w:rsidRPr="00CA29B2">
        <w:t xml:space="preserve"> significant population</w:t>
      </w:r>
      <w:r w:rsidR="000B5171" w:rsidRPr="00CA29B2">
        <w:t xml:space="preserve"> trends </w:t>
      </w:r>
      <w:r w:rsidRPr="00CA29B2">
        <w:t>emerged in</w:t>
      </w:r>
      <w:r w:rsidR="000B5171" w:rsidRPr="00CA29B2">
        <w:t xml:space="preserve"> Newmarket</w:t>
      </w:r>
      <w:r w:rsidRPr="00CA29B2">
        <w:t xml:space="preserve">: </w:t>
      </w:r>
      <w:r w:rsidR="000B5171" w:rsidRPr="00CA29B2">
        <w:t>a significant d</w:t>
      </w:r>
      <w:r w:rsidRPr="00CA29B2">
        <w:t>ecline</w:t>
      </w:r>
      <w:r w:rsidR="000B5171" w:rsidRPr="00CA29B2">
        <w:t xml:space="preserve"> in 25-</w:t>
      </w:r>
      <w:r w:rsidRPr="00CA29B2">
        <w:t>34</w:t>
      </w:r>
      <w:r w:rsidR="000B5171" w:rsidRPr="00CA29B2">
        <w:t xml:space="preserve"> age individuals</w:t>
      </w:r>
      <w:r w:rsidRPr="00CA29B2">
        <w:t xml:space="preserve"> and</w:t>
      </w:r>
      <w:r w:rsidR="000B5171" w:rsidRPr="00CA29B2">
        <w:t xml:space="preserve"> an observable increase in age cohorts </w:t>
      </w:r>
      <w:r w:rsidRPr="00CA29B2">
        <w:t>45</w:t>
      </w:r>
      <w:r w:rsidR="000B5171" w:rsidRPr="00CA29B2">
        <w:t xml:space="preserve"> and </w:t>
      </w:r>
      <w:r w:rsidR="00C95FDB">
        <w:t>above</w:t>
      </w:r>
      <w:r w:rsidR="000B5171" w:rsidRPr="00CA29B2">
        <w:t xml:space="preserve">. This aging population trend is occurring across many of New Hampshire’s communities. Dubbed the ‘silver tsunami’ by demographers and planners, this ‘tsunami’ is the product of the shifting of baby-boom generation individuals into older age cohorts. </w:t>
      </w:r>
      <w:r w:rsidRPr="00CA29B2">
        <w:t xml:space="preserve"> The impact of this trend </w:t>
      </w:r>
      <w:proofErr w:type="gramStart"/>
      <w:r w:rsidRPr="00CA29B2">
        <w:t>is discussed</w:t>
      </w:r>
      <w:proofErr w:type="gramEnd"/>
      <w:r w:rsidRPr="00CA29B2">
        <w:t xml:space="preserve"> in depth later in this chapter.</w:t>
      </w:r>
    </w:p>
    <w:p w:rsidR="000B5171" w:rsidRPr="00BF6726" w:rsidRDefault="000B5171" w:rsidP="00BF6726">
      <w:pPr>
        <w:pStyle w:val="Heading3"/>
        <w:ind w:left="-720"/>
      </w:pPr>
      <w:r w:rsidRPr="00BF6726">
        <w:t>Age Cohort Detail</w:t>
      </w:r>
      <w:r w:rsidR="00FF7D46">
        <w:t>s</w:t>
      </w:r>
    </w:p>
    <w:p w:rsidR="000B5171" w:rsidRPr="00CA29B2" w:rsidRDefault="007620B0" w:rsidP="000B5171">
      <w:pPr>
        <w:tabs>
          <w:tab w:val="left" w:pos="9000"/>
          <w:tab w:val="left" w:pos="9900"/>
        </w:tabs>
        <w:ind w:left="-720" w:right="-720"/>
      </w:pPr>
      <w:r w:rsidRPr="00CA29B2">
        <w:t xml:space="preserve">In parallel with the </w:t>
      </w:r>
      <w:r w:rsidR="000B5171" w:rsidRPr="00CA29B2">
        <w:t xml:space="preserve">2001 </w:t>
      </w:r>
      <w:r w:rsidRPr="00CA29B2">
        <w:t xml:space="preserve">Master Plan </w:t>
      </w:r>
      <w:r w:rsidR="00B003C4">
        <w:t>p</w:t>
      </w:r>
      <w:r w:rsidR="000B5171" w:rsidRPr="00CA29B2">
        <w:t xml:space="preserve">opulation </w:t>
      </w:r>
      <w:r w:rsidR="00B003C4">
        <w:t>c</w:t>
      </w:r>
      <w:r w:rsidR="000B5171" w:rsidRPr="00CA29B2">
        <w:t xml:space="preserve">hapter, the following age cohort </w:t>
      </w:r>
      <w:r w:rsidR="00C95FDB">
        <w:t>discussion</w:t>
      </w:r>
      <w:r w:rsidR="000B5171" w:rsidRPr="00CA29B2">
        <w:t xml:space="preserve"> is divided into four age groups: preschool, </w:t>
      </w:r>
      <w:proofErr w:type="gramStart"/>
      <w:r w:rsidR="000B5171" w:rsidRPr="00CA29B2">
        <w:t>school-age</w:t>
      </w:r>
      <w:proofErr w:type="gramEnd"/>
      <w:r w:rsidR="000B5171" w:rsidRPr="00CA29B2">
        <w:t>, labor-force, and elderly.</w:t>
      </w:r>
    </w:p>
    <w:p w:rsidR="00A03250" w:rsidRPr="00BF6726" w:rsidRDefault="00A03250" w:rsidP="00BF6726">
      <w:pPr>
        <w:pStyle w:val="Heading3"/>
        <w:ind w:left="-720"/>
      </w:pPr>
      <w:r w:rsidRPr="00BF6726">
        <w:t>Pre-school Population</w:t>
      </w:r>
    </w:p>
    <w:p w:rsidR="00A03250" w:rsidRPr="00A54DD8" w:rsidRDefault="008977A4" w:rsidP="00AE456A">
      <w:pPr>
        <w:tabs>
          <w:tab w:val="left" w:pos="9000"/>
          <w:tab w:val="left" w:pos="9900"/>
        </w:tabs>
        <w:ind w:left="-720" w:right="-720"/>
      </w:pPr>
      <w:r w:rsidRPr="00A54DD8">
        <w:t xml:space="preserve">The pre-school population (0-5 years old) </w:t>
      </w:r>
      <w:r w:rsidR="00F23A26" w:rsidRPr="00A54DD8">
        <w:t>increased</w:t>
      </w:r>
      <w:r w:rsidR="00AE456A" w:rsidRPr="00A54DD8">
        <w:t xml:space="preserve"> </w:t>
      </w:r>
      <w:r w:rsidR="00F23A26" w:rsidRPr="00A54DD8">
        <w:t xml:space="preserve">by 17% </w:t>
      </w:r>
      <w:r w:rsidR="00AE456A" w:rsidRPr="00A54DD8">
        <w:t>in the decade between 2000 and 2010</w:t>
      </w:r>
      <w:r w:rsidRPr="00A54DD8">
        <w:t>.</w:t>
      </w:r>
      <w:r w:rsidR="00F23A26" w:rsidRPr="00A54DD8">
        <w:t xml:space="preserve"> However, this cohort has decreased in size since the 1990 Census.</w:t>
      </w:r>
    </w:p>
    <w:p w:rsidR="00A03250" w:rsidRPr="00BF6726" w:rsidRDefault="00A03250" w:rsidP="00BF6726">
      <w:pPr>
        <w:pStyle w:val="Heading3"/>
        <w:ind w:left="-720"/>
      </w:pPr>
      <w:r w:rsidRPr="00BF6726">
        <w:t>School-Age Population</w:t>
      </w:r>
    </w:p>
    <w:p w:rsidR="00A03250" w:rsidRPr="00022250" w:rsidRDefault="00A54DD8" w:rsidP="00AE456A">
      <w:pPr>
        <w:tabs>
          <w:tab w:val="left" w:pos="9000"/>
          <w:tab w:val="left" w:pos="9900"/>
        </w:tabs>
        <w:ind w:left="-720" w:right="-720"/>
      </w:pPr>
      <w:r w:rsidRPr="00022250">
        <w:t xml:space="preserve">Age cohorts that represent ages 5-19, those typically </w:t>
      </w:r>
      <w:r w:rsidR="00C95FDB">
        <w:t>classified as ‘school-age’</w:t>
      </w:r>
      <w:r w:rsidRPr="00022250">
        <w:t>, remained relatively static between 2000 and 2010</w:t>
      </w:r>
      <w:r w:rsidR="00022250" w:rsidRPr="00022250">
        <w:t>. However, each cohort did decrease in size, indicative of lower birth rates and/or decreasing families within the community.</w:t>
      </w:r>
    </w:p>
    <w:p w:rsidR="00A03250" w:rsidRPr="00BF6726" w:rsidRDefault="00A03250" w:rsidP="00BF6726">
      <w:pPr>
        <w:pStyle w:val="Heading3"/>
        <w:ind w:left="-720"/>
      </w:pPr>
      <w:r w:rsidRPr="00BF6726">
        <w:t>Labor Force Population</w:t>
      </w:r>
    </w:p>
    <w:p w:rsidR="00A03250" w:rsidRPr="00A54DD8" w:rsidRDefault="00A03250" w:rsidP="00AE456A">
      <w:pPr>
        <w:tabs>
          <w:tab w:val="left" w:pos="9000"/>
          <w:tab w:val="left" w:pos="9900"/>
        </w:tabs>
        <w:ind w:left="-720" w:right="-720"/>
        <w:rPr>
          <w:color w:val="FF0000"/>
        </w:rPr>
      </w:pPr>
      <w:r w:rsidRPr="00A54DD8">
        <w:t xml:space="preserve">The 18 to 64 age group </w:t>
      </w:r>
      <w:proofErr w:type="gramStart"/>
      <w:r w:rsidRPr="00A54DD8">
        <w:t>is often referred</w:t>
      </w:r>
      <w:proofErr w:type="gramEnd"/>
      <w:r w:rsidRPr="00A54DD8">
        <w:t xml:space="preserve"> to as the labor force, although not all persons in this group are actually employed or </w:t>
      </w:r>
      <w:r w:rsidR="00F23A26" w:rsidRPr="00A54DD8">
        <w:t>seeking employment</w:t>
      </w:r>
      <w:r w:rsidRPr="00A54DD8">
        <w:t xml:space="preserve">. </w:t>
      </w:r>
      <w:r w:rsidR="0035124E" w:rsidRPr="00A54DD8">
        <w:t>Populations between 18 and 25 have remained relatively static in the past two decades. This is likely attributable to the presence</w:t>
      </w:r>
      <w:r w:rsidR="00B003C4">
        <w:t xml:space="preserve"> of</w:t>
      </w:r>
      <w:r w:rsidR="0035124E" w:rsidRPr="00A54DD8">
        <w:t xml:space="preserve"> University of New Hampshire students living in Newmarket, </w:t>
      </w:r>
      <w:r w:rsidR="00C95FDB">
        <w:t xml:space="preserve">and the University’s </w:t>
      </w:r>
      <w:r w:rsidR="0035124E" w:rsidRPr="00A54DD8">
        <w:t>stable enrollment growth. Nonetheless, Newmarket has historically attracted m</w:t>
      </w:r>
      <w:r w:rsidR="00C95FDB">
        <w:t>ore young adults than have the adjacent</w:t>
      </w:r>
      <w:r w:rsidR="0035124E" w:rsidRPr="00A54DD8">
        <w:t xml:space="preserve"> communities. </w:t>
      </w:r>
      <w:r w:rsidRPr="00A54DD8">
        <w:t xml:space="preserve">In Newmarket, persons from 25 to 34 years </w:t>
      </w:r>
      <w:r w:rsidR="00F23A26" w:rsidRPr="00A54DD8">
        <w:t>decreased by 4% in the decade between 2000 and 2010, though not as significantly as the 19% loss between 1990 and 2000.</w:t>
      </w:r>
      <w:r w:rsidRPr="00A54DD8">
        <w:t xml:space="preserve"> </w:t>
      </w:r>
      <w:r w:rsidR="00F23A26" w:rsidRPr="00A54DD8">
        <w:t>However, persons</w:t>
      </w:r>
      <w:r w:rsidRPr="00A54DD8">
        <w:t xml:space="preserve"> 35 to 44 years </w:t>
      </w:r>
      <w:r w:rsidR="00F23A26" w:rsidRPr="00A54DD8">
        <w:t>declined by 15%</w:t>
      </w:r>
      <w:r w:rsidRPr="00A54DD8">
        <w:t xml:space="preserve"> over the same span</w:t>
      </w:r>
      <w:r w:rsidR="00D144FF" w:rsidRPr="00A54DD8">
        <w:t xml:space="preserve">, the largest value decrease of any </w:t>
      </w:r>
      <w:r w:rsidR="00C95FDB">
        <w:t xml:space="preserve">single </w:t>
      </w:r>
      <w:r w:rsidR="00D144FF" w:rsidRPr="00A54DD8">
        <w:t>cohort</w:t>
      </w:r>
      <w:r w:rsidRPr="00A54DD8">
        <w:t xml:space="preserve">. </w:t>
      </w:r>
      <w:r w:rsidR="00F23A26" w:rsidRPr="00A54DD8">
        <w:t>The</w:t>
      </w:r>
      <w:r w:rsidRPr="00A54DD8">
        <w:t xml:space="preserve"> 45 to </w:t>
      </w:r>
      <w:proofErr w:type="gramStart"/>
      <w:r w:rsidRPr="00A54DD8">
        <w:t>54 age</w:t>
      </w:r>
      <w:proofErr w:type="gramEnd"/>
      <w:r w:rsidRPr="00A54DD8">
        <w:t xml:space="preserve"> category </w:t>
      </w:r>
      <w:r w:rsidR="00D144FF" w:rsidRPr="00A54DD8">
        <w:t>experienced an increase of nearly 35% in the ten year period between 2000 and 2010</w:t>
      </w:r>
      <w:r w:rsidR="00C95FDB">
        <w:t>, a product of the ‘silver tsunami’.</w:t>
      </w:r>
    </w:p>
    <w:p w:rsidR="00A03250" w:rsidRPr="00BF6726" w:rsidRDefault="00A03250" w:rsidP="00BF6726">
      <w:pPr>
        <w:pStyle w:val="Heading3"/>
        <w:ind w:left="-720"/>
      </w:pPr>
      <w:r w:rsidRPr="00BF6726">
        <w:t>Elderly Population</w:t>
      </w:r>
    </w:p>
    <w:p w:rsidR="000B5171" w:rsidRPr="00A54DD8" w:rsidRDefault="00C95FDB" w:rsidP="000B5171">
      <w:pPr>
        <w:tabs>
          <w:tab w:val="left" w:pos="9000"/>
          <w:tab w:val="left" w:pos="9900"/>
        </w:tabs>
        <w:ind w:left="-720" w:right="-720"/>
      </w:pPr>
      <w:r>
        <w:t>Elderly cohorts (</w:t>
      </w:r>
      <w:r w:rsidR="00C86D8B" w:rsidRPr="00A54DD8">
        <w:t xml:space="preserve">those </w:t>
      </w:r>
      <w:r w:rsidR="00A03250" w:rsidRPr="00A54DD8">
        <w:t xml:space="preserve">ages 65 and over) grew by </w:t>
      </w:r>
      <w:r w:rsidR="00C86D8B" w:rsidRPr="00A54DD8">
        <w:t>127</w:t>
      </w:r>
      <w:r w:rsidR="00A03250" w:rsidRPr="00A54DD8">
        <w:t xml:space="preserve">% from </w:t>
      </w:r>
      <w:r>
        <w:t xml:space="preserve">2000 to 2010. </w:t>
      </w:r>
    </w:p>
    <w:p w:rsidR="009E47C7" w:rsidRPr="009128E4" w:rsidRDefault="00AF4759" w:rsidP="008C5C53">
      <w:pPr>
        <w:pStyle w:val="Heading2"/>
      </w:pPr>
      <w:bookmarkStart w:id="6" w:name="_Toc427316494"/>
      <w:r w:rsidRPr="009128E4">
        <w:lastRenderedPageBreak/>
        <w:t xml:space="preserve">Population and </w:t>
      </w:r>
      <w:r w:rsidR="009E47C7" w:rsidRPr="009128E4">
        <w:t>School Enrollment</w:t>
      </w:r>
      <w:bookmarkEnd w:id="6"/>
    </w:p>
    <w:p w:rsidR="003C0A43" w:rsidRPr="00CA29B2" w:rsidRDefault="003C0A43" w:rsidP="00DF4671">
      <w:pPr>
        <w:tabs>
          <w:tab w:val="left" w:pos="10350"/>
        </w:tabs>
        <w:ind w:left="-720" w:right="-720"/>
      </w:pPr>
      <w:r w:rsidRPr="00CA29B2">
        <w:t xml:space="preserve">Two observable demographic shifts are occurring not only in </w:t>
      </w:r>
      <w:r w:rsidR="008977A4" w:rsidRPr="00CA29B2">
        <w:t>Newmarket</w:t>
      </w:r>
      <w:r w:rsidRPr="00CA29B2">
        <w:t xml:space="preserve">, </w:t>
      </w:r>
      <w:proofErr w:type="gramStart"/>
      <w:r w:rsidRPr="00CA29B2">
        <w:t>but</w:t>
      </w:r>
      <w:proofErr w:type="gramEnd"/>
      <w:r w:rsidRPr="00CA29B2">
        <w:t xml:space="preserve"> across much of New Hampshire, and the nation.  Though some states have been able to endure changing age demographics by attracting heavy in-migration from immigrant populations, New Hampshire’s population is rapidly aging while co</w:t>
      </w:r>
      <w:r w:rsidR="000B5171" w:rsidRPr="00CA29B2">
        <w:t>mmunities are experiencing a</w:t>
      </w:r>
      <w:r w:rsidR="00025A48" w:rsidRPr="00CA29B2">
        <w:t>n</w:t>
      </w:r>
      <w:r w:rsidR="000B5171" w:rsidRPr="00CA29B2">
        <w:t xml:space="preserve"> </w:t>
      </w:r>
      <w:r w:rsidRPr="00CA29B2">
        <w:t xml:space="preserve">observable decline in families, children, and school enrollment. As part of its 2012 </w:t>
      </w:r>
      <w:r w:rsidRPr="00CA29B2">
        <w:rPr>
          <w:i/>
        </w:rPr>
        <w:t>Housing and School Enrollment in New Hampshire: 2000-2010-A Decade of Change</w:t>
      </w:r>
      <w:r w:rsidRPr="00CA29B2">
        <w:t xml:space="preserve"> study, New Hampshire Housing Finance Authority suggests that demographics can have a greater influence on enrollment figures than housing growth/construction. In the decade between 2000 and 2010, New Hampshire communities gained nearly 45,000 housing units, but lost nearly 21,600 school enrollees.  Of the state’s 161 school districts, 130 experienced a dec</w:t>
      </w:r>
      <w:r w:rsidR="008977A4" w:rsidRPr="00CA29B2">
        <w:t>line in enrollment, including the Newmarket school system.</w:t>
      </w:r>
    </w:p>
    <w:p w:rsidR="00AF4759" w:rsidRPr="00546909" w:rsidRDefault="00AF4759" w:rsidP="00DF4671">
      <w:pPr>
        <w:tabs>
          <w:tab w:val="left" w:pos="10350"/>
        </w:tabs>
        <w:ind w:left="-720" w:right="-720"/>
        <w:rPr>
          <w:sz w:val="18"/>
          <w:szCs w:val="18"/>
        </w:rPr>
      </w:pPr>
      <w:r w:rsidRPr="00546909">
        <w:rPr>
          <w:noProof/>
          <w:sz w:val="18"/>
          <w:szCs w:val="18"/>
        </w:rPr>
        <w:drawing>
          <wp:inline distT="0" distB="0" distL="0" distR="0" wp14:anchorId="4F836A1E" wp14:editId="7F8AE4ED">
            <wp:extent cx="6868633"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C0A43" w:rsidRPr="00546909" w:rsidRDefault="003C0A43" w:rsidP="00CA29B2">
      <w:pPr>
        <w:ind w:left="-720" w:right="-720"/>
      </w:pPr>
      <w:r w:rsidRPr="00546909">
        <w:t xml:space="preserve">In 2000, </w:t>
      </w:r>
      <w:r w:rsidR="008977A4" w:rsidRPr="00546909">
        <w:t>Newmarket</w:t>
      </w:r>
      <w:r w:rsidRPr="00546909">
        <w:t xml:space="preserve">, like many other communities in the </w:t>
      </w:r>
      <w:r w:rsidR="0034428A">
        <w:t>s</w:t>
      </w:r>
      <w:r w:rsidRPr="00546909">
        <w:t xml:space="preserve">tate, attempted to address the cost of educating new students coming from new housing unit construction. In </w:t>
      </w:r>
      <w:proofErr w:type="gramStart"/>
      <w:r w:rsidRPr="00546909">
        <w:t>201</w:t>
      </w:r>
      <w:r w:rsidR="008977A4" w:rsidRPr="00546909">
        <w:t>5</w:t>
      </w:r>
      <w:proofErr w:type="gramEnd"/>
      <w:r w:rsidRPr="00546909">
        <w:t xml:space="preserve"> the demographic playing field has changed. Family households are in decline with a rapidly growing  number of housing units occupied by only one person or multiple unrelated individuals living together to minimize costs</w:t>
      </w:r>
      <w:r w:rsidR="009D4B2A" w:rsidRPr="00546909">
        <w:t xml:space="preserve">, particularly in communities adjacent to </w:t>
      </w:r>
      <w:r w:rsidR="000626A6" w:rsidRPr="00546909">
        <w:t>Universities</w:t>
      </w:r>
      <w:r w:rsidRPr="00546909">
        <w:t>. Despite construction of new single-family homes and multi-family units in some New Hampshire communities, these projects typically produce only .64 and .17 students per unit respectively. Declining or stagnating enrollment, once considered a</w:t>
      </w:r>
      <w:r w:rsidR="00025A48" w:rsidRPr="00546909">
        <w:t xml:space="preserve"> goal of some communities like Newmarket</w:t>
      </w:r>
      <w:r w:rsidRPr="00546909">
        <w:t>, is now costing taxpayers more as they work to pay for fixed education costs like maintenance and staffing</w:t>
      </w:r>
      <w:r w:rsidR="0034428A">
        <w:t>. This is</w:t>
      </w:r>
      <w:r w:rsidR="009D4B2A" w:rsidRPr="00546909">
        <w:t xml:space="preserve"> of particular importance in Newmarket with its current education </w:t>
      </w:r>
      <w:r w:rsidR="00776DCC">
        <w:t xml:space="preserve">infrastructure </w:t>
      </w:r>
      <w:r w:rsidR="009D4B2A" w:rsidRPr="00546909">
        <w:t>planning challenges</w:t>
      </w:r>
      <w:r w:rsidRPr="00546909">
        <w:t xml:space="preserve">. Furthermore, </w:t>
      </w:r>
      <w:proofErr w:type="gramStart"/>
      <w:r w:rsidRPr="00546909">
        <w:t>state-funding</w:t>
      </w:r>
      <w:proofErr w:type="gramEnd"/>
      <w:r w:rsidRPr="00546909">
        <w:t>, often based on a student-enrollment funding formula, is also declining.</w:t>
      </w:r>
    </w:p>
    <w:p w:rsidR="003C0A43" w:rsidRPr="00546909" w:rsidRDefault="003C0A43" w:rsidP="00CA29B2">
      <w:pPr>
        <w:ind w:left="-720" w:right="-720"/>
      </w:pPr>
      <w:r w:rsidRPr="00546909">
        <w:t xml:space="preserve">With slow growth projected for much of New Hampshire, enrollment numbers </w:t>
      </w:r>
      <w:proofErr w:type="gramStart"/>
      <w:r w:rsidRPr="00546909">
        <w:t>are not expected</w:t>
      </w:r>
      <w:proofErr w:type="gramEnd"/>
      <w:r w:rsidRPr="00546909">
        <w:t xml:space="preserve"> to return to 1990-2000 levels. Many school districts now have a surplus of capacity</w:t>
      </w:r>
      <w:r w:rsidR="00776DCC">
        <w:t xml:space="preserve"> and shortage of demand</w:t>
      </w:r>
      <w:r w:rsidRPr="00546909">
        <w:t xml:space="preserve"> that </w:t>
      </w:r>
      <w:proofErr w:type="gramStart"/>
      <w:r w:rsidRPr="00546909">
        <w:t>must be addressed</w:t>
      </w:r>
      <w:proofErr w:type="gramEnd"/>
      <w:r w:rsidRPr="00546909">
        <w:t xml:space="preserve">. Communities must begin to take action to improve the overall fiscal health of their education system by addressing the provision of affordable and attractive family housing stock that will increase property tax revenues. </w:t>
      </w:r>
      <w:r w:rsidR="008977A4" w:rsidRPr="00546909">
        <w:t>Newmarket</w:t>
      </w:r>
      <w:r w:rsidRPr="00546909">
        <w:t xml:space="preserve"> is no exception. </w:t>
      </w:r>
    </w:p>
    <w:p w:rsidR="003C0A43" w:rsidRPr="00546909" w:rsidRDefault="003C0A43" w:rsidP="00DF4671">
      <w:pPr>
        <w:tabs>
          <w:tab w:val="left" w:pos="10350"/>
        </w:tabs>
        <w:ind w:left="-720" w:right="-720"/>
        <w:rPr>
          <w:sz w:val="18"/>
          <w:szCs w:val="18"/>
        </w:rPr>
      </w:pPr>
    </w:p>
    <w:p w:rsidR="009E47C7" w:rsidRPr="009128E4" w:rsidRDefault="009E47C7" w:rsidP="008C5C53">
      <w:pPr>
        <w:pStyle w:val="Heading2"/>
      </w:pPr>
      <w:bookmarkStart w:id="7" w:name="_Toc427316495"/>
      <w:r w:rsidRPr="009128E4">
        <w:lastRenderedPageBreak/>
        <w:t>Enrollment Projections</w:t>
      </w:r>
      <w:bookmarkEnd w:id="7"/>
    </w:p>
    <w:p w:rsidR="00495C8F" w:rsidRPr="00A456A2" w:rsidRDefault="00495C8F" w:rsidP="001E4663">
      <w:pPr>
        <w:ind w:left="-720"/>
      </w:pPr>
      <w:r w:rsidRPr="00A456A2">
        <w:t>Newmarket has undertaken a significant effort to plan for continued excellence in education for its future students. As part of that effort, the Town of Newmarket,</w:t>
      </w:r>
      <w:r w:rsidR="006D257B">
        <w:t xml:space="preserve"> Newmarket School Board, and Joint Advisory Committee (JAC),</w:t>
      </w:r>
      <w:r w:rsidRPr="00A456A2">
        <w:t xml:space="preserve"> in conjunction with </w:t>
      </w:r>
      <w:r w:rsidR="00A456A2" w:rsidRPr="00A456A2">
        <w:t xml:space="preserve">professional education planning </w:t>
      </w:r>
      <w:r w:rsidRPr="00A456A2">
        <w:t xml:space="preserve">consultants, developed the Newmarket School Facility Report in 2015. The following </w:t>
      </w:r>
      <w:r w:rsidR="00A456A2" w:rsidRPr="00A456A2">
        <w:t xml:space="preserve">projections </w:t>
      </w:r>
      <w:proofErr w:type="gramStart"/>
      <w:r w:rsidR="00A456A2" w:rsidRPr="00A456A2">
        <w:t>are extracted</w:t>
      </w:r>
      <w:proofErr w:type="gramEnd"/>
      <w:r w:rsidR="00A456A2" w:rsidRPr="00A456A2">
        <w:t xml:space="preserve"> from that report:</w:t>
      </w:r>
    </w:p>
    <w:p w:rsidR="00495C8F" w:rsidRPr="00971220" w:rsidRDefault="001B1143" w:rsidP="001B1143">
      <w:pPr>
        <w:ind w:left="-360" w:right="360"/>
        <w:rPr>
          <w:i/>
        </w:rPr>
      </w:pPr>
      <w:r>
        <w:rPr>
          <w:noProof/>
        </w:rPr>
        <w:drawing>
          <wp:inline distT="0" distB="0" distL="0" distR="0" wp14:anchorId="7877704C" wp14:editId="191C00EF">
            <wp:extent cx="5962650" cy="35433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6D257B">
        <w:rPr>
          <w:i/>
        </w:rPr>
        <w:t>”</w:t>
      </w:r>
      <w:r w:rsidR="001E4663" w:rsidRPr="00971220">
        <w:rPr>
          <w:i/>
        </w:rPr>
        <w:t>Predicting student enrollment for the next several years is a critical task.  After reviewing a number of student enrollment studies conducted for Newmarket and developing some projections of our own, the consultants, with agreement by the JAC, have elected to use the 2014-</w:t>
      </w:r>
      <w:r w:rsidR="0034428A">
        <w:rPr>
          <w:i/>
        </w:rPr>
        <w:t>20</w:t>
      </w:r>
      <w:r w:rsidR="001E4663" w:rsidRPr="00971220">
        <w:rPr>
          <w:i/>
        </w:rPr>
        <w:t>15 Student Enrollment Projections conducted by the New England School Development Council (NESDEC) as the best basis for future stude</w:t>
      </w:r>
      <w:r w:rsidR="000C6FBE">
        <w:rPr>
          <w:i/>
        </w:rPr>
        <w:t>nt enrollments</w:t>
      </w:r>
      <w:r w:rsidR="001E4663" w:rsidRPr="00971220">
        <w:rPr>
          <w:i/>
        </w:rPr>
        <w:t xml:space="preserve">. The NESDEC study </w:t>
      </w:r>
      <w:proofErr w:type="gramStart"/>
      <w:r w:rsidR="001E4663" w:rsidRPr="00971220">
        <w:rPr>
          <w:i/>
        </w:rPr>
        <w:t>is attached</w:t>
      </w:r>
      <w:proofErr w:type="gramEnd"/>
      <w:r w:rsidR="001E4663" w:rsidRPr="00971220">
        <w:rPr>
          <w:i/>
        </w:rPr>
        <w:t xml:space="preserve"> to this report and forms the basis both for examining tuition options and for helping determine the size of buildings needed to house Newmarket Junior and Senior High School students.</w:t>
      </w:r>
    </w:p>
    <w:p w:rsidR="001E4663" w:rsidRPr="00971220" w:rsidRDefault="001E4663" w:rsidP="001B1143">
      <w:pPr>
        <w:ind w:left="-360" w:right="360"/>
        <w:rPr>
          <w:i/>
        </w:rPr>
      </w:pPr>
      <w:r w:rsidRPr="00971220">
        <w:rPr>
          <w:i/>
        </w:rPr>
        <w:t xml:space="preserve">The NESDEC study contains projections of student enrollment through the 2024-25 school </w:t>
      </w:r>
      <w:proofErr w:type="gramStart"/>
      <w:r w:rsidRPr="00971220">
        <w:rPr>
          <w:i/>
        </w:rPr>
        <w:t>year</w:t>
      </w:r>
      <w:proofErr w:type="gramEnd"/>
      <w:r w:rsidRPr="00971220">
        <w:rPr>
          <w:i/>
        </w:rPr>
        <w:t>.   According to the projections, high school population will peak at 274 students in 2021-22 and decline to 265 three years later.  Combined senior and junior high school population will peak at 516 students in 2020-2</w:t>
      </w:r>
      <w:r w:rsidR="00E21264" w:rsidRPr="00971220">
        <w:rPr>
          <w:i/>
        </w:rPr>
        <w:t>1and decline to 489 by 2024-25.</w:t>
      </w:r>
      <w:r w:rsidR="006D257B">
        <w:rPr>
          <w:i/>
        </w:rPr>
        <w:t>”</w:t>
      </w:r>
    </w:p>
    <w:p w:rsidR="00E21264" w:rsidRPr="00971220" w:rsidRDefault="00E21264" w:rsidP="00E21264">
      <w:pPr>
        <w:ind w:left="-360" w:right="360"/>
        <w:jc w:val="right"/>
        <w:rPr>
          <w:sz w:val="16"/>
          <w:szCs w:val="16"/>
        </w:rPr>
      </w:pPr>
      <w:r w:rsidRPr="00971220">
        <w:rPr>
          <w:sz w:val="16"/>
          <w:szCs w:val="16"/>
        </w:rPr>
        <w:t>[Source: Newmarket School Facility Report]</w:t>
      </w:r>
    </w:p>
    <w:p w:rsidR="001B1143" w:rsidRPr="00842608" w:rsidRDefault="00A456A2" w:rsidP="001B1143">
      <w:pPr>
        <w:ind w:left="-720"/>
      </w:pPr>
      <w:r w:rsidRPr="00842608">
        <w:t>Historically</w:t>
      </w:r>
      <w:r w:rsidR="001B1143" w:rsidRPr="00842608">
        <w:t xml:space="preserve">, </w:t>
      </w:r>
      <w:r w:rsidRPr="00842608">
        <w:t xml:space="preserve">Newmarket’s </w:t>
      </w:r>
      <w:r w:rsidR="001B1143" w:rsidRPr="00842608">
        <w:t>enrollment</w:t>
      </w:r>
      <w:r w:rsidRPr="00842608">
        <w:t xml:space="preserve"> in grades 1-5 in Newmarket has</w:t>
      </w:r>
      <w:r w:rsidR="001B1143" w:rsidRPr="00842608">
        <w:t xml:space="preserve"> </w:t>
      </w:r>
      <w:r w:rsidRPr="00842608">
        <w:t>remained stable</w:t>
      </w:r>
      <w:r w:rsidR="001B1143" w:rsidRPr="00842608">
        <w:t xml:space="preserve"> while enrollment in grades 5-12 has declined</w:t>
      </w:r>
      <w:r w:rsidRPr="00842608">
        <w:t xml:space="preserve"> over time</w:t>
      </w:r>
      <w:r w:rsidR="001B1143" w:rsidRPr="00842608">
        <w:t xml:space="preserve">. </w:t>
      </w:r>
      <w:r w:rsidRPr="00842608">
        <w:t>This</w:t>
      </w:r>
      <w:r w:rsidR="001B1143" w:rsidRPr="00842608">
        <w:t xml:space="preserve"> trend suggests that student</w:t>
      </w:r>
      <w:r w:rsidRPr="00842608">
        <w:t>s</w:t>
      </w:r>
      <w:r w:rsidR="001B1143" w:rsidRPr="00842608">
        <w:t xml:space="preserve"> enrolled in the District at younger ages do not remain </w:t>
      </w:r>
      <w:r w:rsidRPr="00842608">
        <w:t>as they age</w:t>
      </w:r>
      <w:r w:rsidR="00E21264" w:rsidRPr="00842608">
        <w:t>. One contributing factor may be that Newmarket’s affordable rental housing stock attracts young families, but a</w:t>
      </w:r>
      <w:r w:rsidR="00045BB9">
        <w:t xml:space="preserve"> somewhat</w:t>
      </w:r>
      <w:r w:rsidR="00E21264" w:rsidRPr="00842608">
        <w:t xml:space="preserve"> less affordable ownership market makes it difficult for those families to transition to appropriate housing, resulting in them leaving the community.</w:t>
      </w:r>
    </w:p>
    <w:p w:rsidR="001E4663" w:rsidRDefault="001E4663" w:rsidP="001B1143">
      <w:pPr>
        <w:ind w:left="-720"/>
      </w:pPr>
    </w:p>
    <w:p w:rsidR="001E4663" w:rsidRDefault="00FE0A9A" w:rsidP="001E4663">
      <w:pPr>
        <w:ind w:left="-720"/>
        <w:rPr>
          <w:sz w:val="24"/>
        </w:rPr>
      </w:pPr>
      <w:r>
        <w:rPr>
          <w:noProof/>
        </w:rPr>
        <mc:AlternateContent>
          <mc:Choice Requires="wps">
            <w:drawing>
              <wp:anchor distT="0" distB="0" distL="114300" distR="114300" simplePos="0" relativeHeight="251719680" behindDoc="0" locked="0" layoutInCell="1" allowOverlap="1" wp14:anchorId="0E669A16" wp14:editId="11320481">
                <wp:simplePos x="0" y="0"/>
                <wp:positionH relativeFrom="column">
                  <wp:posOffset>3720465</wp:posOffset>
                </wp:positionH>
                <wp:positionV relativeFrom="paragraph">
                  <wp:posOffset>1926349</wp:posOffset>
                </wp:positionV>
                <wp:extent cx="2680357" cy="236483"/>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57" cy="236483"/>
                        </a:xfrm>
                        <a:prstGeom prst="rect">
                          <a:avLst/>
                        </a:prstGeom>
                        <a:noFill/>
                        <a:ln w="9525">
                          <a:noFill/>
                          <a:miter lim="800000"/>
                          <a:headEnd/>
                          <a:tailEnd/>
                        </a:ln>
                      </wps:spPr>
                      <wps:txbx>
                        <w:txbxContent>
                          <w:p w:rsidR="009A5582" w:rsidRPr="00F04A9F" w:rsidRDefault="009A5582" w:rsidP="00FE0A9A">
                            <w:pPr>
                              <w:rPr>
                                <w:sz w:val="16"/>
                                <w:szCs w:val="16"/>
                              </w:rPr>
                            </w:pPr>
                            <w:r>
                              <w:rPr>
                                <w:sz w:val="16"/>
                                <w:szCs w:val="16"/>
                              </w:rPr>
                              <w:t>Newmarket Mills</w:t>
                            </w:r>
                            <w:r>
                              <w:rPr>
                                <w:sz w:val="16"/>
                                <w:szCs w:val="16"/>
                              </w:rPr>
                              <w:tab/>
                              <w:t>Source: Town of Newmarket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2.95pt;margin-top:151.7pt;width:211.05pt;height:1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" filled="f" stroked="f">
                <v:textbox>
                  <w:txbxContent>
                    <w:p w:rsidR="009A5582" w:rsidRPr="00F04A9F" w:rsidRDefault="009A5582" w:rsidP="00FE0A9A">
                      <w:pPr>
                        <w:rPr>
                          <w:sz w:val="16"/>
                          <w:szCs w:val="16"/>
                        </w:rPr>
                      </w:pPr>
                      <w:r>
                        <w:rPr>
                          <w:sz w:val="16"/>
                          <w:szCs w:val="16"/>
                        </w:rPr>
                        <w:t>Newmarket Mills</w:t>
                      </w:r>
                      <w:r>
                        <w:rPr>
                          <w:sz w:val="16"/>
                          <w:szCs w:val="16"/>
                        </w:rPr>
                        <w:tab/>
                        <w:t>Source: Town of Newmarket</w:t>
                      </w:r>
                    </w:p>
                  </w:txbxContent>
                </v:textbox>
              </v:shape>
            </w:pict>
          </mc:Fallback>
        </mc:AlternateContent>
      </w:r>
      <w:r w:rsidR="00E21264">
        <w:rPr>
          <w:noProof/>
        </w:rPr>
        <w:drawing>
          <wp:anchor distT="0" distB="0" distL="114300" distR="114300" simplePos="0" relativeHeight="251687936" behindDoc="0" locked="0" layoutInCell="1" allowOverlap="1" wp14:anchorId="38ED9942" wp14:editId="0E1D3A64">
            <wp:simplePos x="0" y="0"/>
            <wp:positionH relativeFrom="column">
              <wp:posOffset>-473075</wp:posOffset>
            </wp:positionH>
            <wp:positionV relativeFrom="paragraph">
              <wp:posOffset>108585</wp:posOffset>
            </wp:positionV>
            <wp:extent cx="6873240" cy="1821180"/>
            <wp:effectExtent l="0" t="0" r="3810" b="7620"/>
            <wp:wrapSquare wrapText="bothSides"/>
            <wp:docPr id="21" name="Picture 21" descr="http://blogs.seacoastonline.com/seacoast-green-alliance/files/2012/07/Newmarket-Mills-fo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seacoastonline.com/seacoast-green-alliance/files/2012/07/Newmarket-Mills-for-GA.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60360"/>
                    <a:stretch/>
                  </pic:blipFill>
                  <pic:spPr bwMode="auto">
                    <a:xfrm>
                      <a:off x="0" y="0"/>
                      <a:ext cx="6873240" cy="182118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7DD6" w:rsidRPr="00C60FC4" w:rsidRDefault="009E47C7" w:rsidP="00C60FC4">
      <w:pPr>
        <w:pStyle w:val="Heading1"/>
        <w:ind w:left="-720"/>
      </w:pPr>
      <w:bookmarkStart w:id="8" w:name="_Toc427316496"/>
      <w:r w:rsidRPr="00C60FC4">
        <w:t>Income and Employment Characteristics</w:t>
      </w:r>
      <w:bookmarkEnd w:id="8"/>
    </w:p>
    <w:p w:rsidR="00EE04F9" w:rsidRDefault="00EE04F9" w:rsidP="00EE04F9">
      <w:pPr>
        <w:ind w:left="-720" w:right="-720"/>
      </w:pPr>
      <w:r>
        <w:t xml:space="preserve">For detailed information on Median Household Income, Per Capita Income, and Income Groups, please </w:t>
      </w:r>
      <w:proofErr w:type="gramStart"/>
      <w:r>
        <w:t>see</w:t>
      </w:r>
      <w:proofErr w:type="gramEnd"/>
      <w:r>
        <w:t xml:space="preserve"> Table </w:t>
      </w:r>
      <w:r w:rsidR="00283366">
        <w:t>1</w:t>
      </w:r>
      <w:r>
        <w:t xml:space="preserve"> on </w:t>
      </w:r>
      <w:r w:rsidR="00363590">
        <w:t>page 1</w:t>
      </w:r>
      <w:r w:rsidR="00283366">
        <w:t>1</w:t>
      </w:r>
      <w:r w:rsidR="00363590">
        <w:t>.</w:t>
      </w:r>
    </w:p>
    <w:p w:rsidR="009E47C7" w:rsidRPr="009128E4" w:rsidRDefault="009E47C7" w:rsidP="008C5C53">
      <w:pPr>
        <w:pStyle w:val="Heading2"/>
      </w:pPr>
      <w:bookmarkStart w:id="9" w:name="_Toc427316497"/>
      <w:r w:rsidRPr="009128E4">
        <w:t>M</w:t>
      </w:r>
      <w:r w:rsidR="000366F3" w:rsidRPr="009128E4">
        <w:t>edian Household Income</w:t>
      </w:r>
      <w:bookmarkEnd w:id="9"/>
    </w:p>
    <w:p w:rsidR="00D26AD9" w:rsidRDefault="003625EE" w:rsidP="009733E7">
      <w:pPr>
        <w:ind w:left="-720" w:right="-720"/>
      </w:pPr>
      <w:r w:rsidRPr="0016783C">
        <w:t>Newmarket’s median household income has remained slig</w:t>
      </w:r>
      <w:r w:rsidR="00D26AD9">
        <w:t>htly lower than the SRPC region</w:t>
      </w:r>
      <w:r w:rsidR="002E4654">
        <w:t xml:space="preserve"> </w:t>
      </w:r>
      <w:r w:rsidRPr="0016783C">
        <w:t>(</w:t>
      </w:r>
      <w:proofErr w:type="gramStart"/>
      <w:r w:rsidRPr="0016783C">
        <w:t>5%),</w:t>
      </w:r>
      <w:proofErr w:type="gramEnd"/>
      <w:r w:rsidRPr="0016783C">
        <w:t xml:space="preserve"> and an average of 10% lower than that of the State of New Hampshire</w:t>
      </w:r>
      <w:r w:rsidR="000366F3" w:rsidRPr="0016783C">
        <w:t xml:space="preserve"> over the period </w:t>
      </w:r>
      <w:r w:rsidRPr="0016783C">
        <w:t>between 1990 and 201</w:t>
      </w:r>
      <w:r w:rsidR="000366F3" w:rsidRPr="0016783C">
        <w:t>3</w:t>
      </w:r>
      <w:r w:rsidRPr="0016783C">
        <w:t>. In this period, the Town’s household income grew from $32,348 in 1990, to $46,058 in 2000, to a value of $57,429 in 201</w:t>
      </w:r>
      <w:r w:rsidR="000366F3" w:rsidRPr="0016783C">
        <w:t>3</w:t>
      </w:r>
      <w:r w:rsidRPr="0016783C">
        <w:t xml:space="preserve"> – a 20-year overall growth of 56%.</w:t>
      </w:r>
      <w:r w:rsidR="000366F3" w:rsidRPr="0016783C">
        <w:t xml:space="preserve"> </w:t>
      </w:r>
    </w:p>
    <w:p w:rsidR="00201231" w:rsidRPr="00D26AD9" w:rsidRDefault="00D26AD9" w:rsidP="009733E7">
      <w:pPr>
        <w:ind w:left="-720" w:right="-720"/>
        <w:rPr>
          <w:sz w:val="16"/>
          <w:szCs w:val="16"/>
        </w:rPr>
      </w:pPr>
      <w:r>
        <w:rPr>
          <w:sz w:val="16"/>
          <w:szCs w:val="16"/>
        </w:rPr>
        <w:t>Note*</w:t>
      </w:r>
      <w:r w:rsidR="000366F3" w:rsidRPr="00D26AD9">
        <w:rPr>
          <w:sz w:val="16"/>
          <w:szCs w:val="16"/>
        </w:rPr>
        <w:t xml:space="preserve"> </w:t>
      </w:r>
      <w:r>
        <w:rPr>
          <w:sz w:val="16"/>
          <w:szCs w:val="16"/>
        </w:rPr>
        <w:t xml:space="preserve"> 2013 figures </w:t>
      </w:r>
      <w:r w:rsidR="000366F3" w:rsidRPr="00D26AD9">
        <w:rPr>
          <w:sz w:val="16"/>
          <w:szCs w:val="16"/>
        </w:rPr>
        <w:t xml:space="preserve">are extracted from American Community Survey estimates while 1990 and 2000 figures are extracted from </w:t>
      </w:r>
      <w:r w:rsidR="004A036D">
        <w:rPr>
          <w:sz w:val="16"/>
          <w:szCs w:val="16"/>
        </w:rPr>
        <w:t>U.S. Census Bureau</w:t>
      </w:r>
      <w:r>
        <w:rPr>
          <w:sz w:val="16"/>
          <w:szCs w:val="16"/>
        </w:rPr>
        <w:t xml:space="preserve"> 100% count datasets</w:t>
      </w:r>
    </w:p>
    <w:p w:rsidR="00005EB2" w:rsidRDefault="009733E7" w:rsidP="008C5C53">
      <w:pPr>
        <w:pStyle w:val="Heading2"/>
      </w:pPr>
      <w:bookmarkStart w:id="10" w:name="_Toc427316498"/>
      <w:r w:rsidRPr="003A724B">
        <w:t>Per Capita Income</w:t>
      </w:r>
      <w:bookmarkEnd w:id="10"/>
    </w:p>
    <w:p w:rsidR="00005EB2" w:rsidRPr="00005EB2" w:rsidRDefault="00005EB2" w:rsidP="00EE04F9">
      <w:pPr>
        <w:ind w:left="-720" w:right="-720"/>
      </w:pPr>
      <w:r>
        <w:t xml:space="preserve">Newmarket’s per capita income doubled in the twenty years between 1990 and 2010. </w:t>
      </w:r>
      <w:r w:rsidR="00EE04F9">
        <w:t>Newmarket’s median per capita income has been historically higher than the SRPC planning region, likely because of its proximity to</w:t>
      </w:r>
      <w:r w:rsidR="00540F7E">
        <w:t xml:space="preserve"> the</w:t>
      </w:r>
      <w:r w:rsidR="00EE04F9">
        <w:t xml:space="preserve"> more affluent Rockingham County and the communities of Exeter and Portsmouth. </w:t>
      </w:r>
      <w:r w:rsidR="005E2764">
        <w:t>Newma</w:t>
      </w:r>
      <w:r w:rsidR="002E4654">
        <w:t>rket is however lower than the S</w:t>
      </w:r>
      <w:r w:rsidR="005E2764">
        <w:t xml:space="preserve">tate of New Hampshire. </w:t>
      </w:r>
      <w:r w:rsidR="00EE04F9">
        <w:t>This is likely the product of the high count of University of New Hampshire</w:t>
      </w:r>
      <w:r w:rsidR="005E2764">
        <w:t xml:space="preserve"> students reporting low incomes within Newmarket.</w:t>
      </w:r>
    </w:p>
    <w:p w:rsidR="00246A01" w:rsidRDefault="00246A01" w:rsidP="008C5C53">
      <w:pPr>
        <w:pStyle w:val="Heading2"/>
      </w:pPr>
      <w:bookmarkStart w:id="11" w:name="_Toc427316499"/>
      <w:r w:rsidRPr="003A724B">
        <w:t>Income Groups</w:t>
      </w:r>
      <w:bookmarkEnd w:id="11"/>
    </w:p>
    <w:p w:rsidR="001E4663" w:rsidRDefault="00005EB2" w:rsidP="00BA1B4A">
      <w:pPr>
        <w:ind w:left="-720" w:right="-720"/>
      </w:pPr>
      <w:r>
        <w:t xml:space="preserve">Newmarket’s income group classification growth illustrates a surprising shift away from </w:t>
      </w:r>
      <w:proofErr w:type="gramStart"/>
      <w:r>
        <w:t>middle income</w:t>
      </w:r>
      <w:proofErr w:type="gramEnd"/>
      <w:r>
        <w:t xml:space="preserve"> residents, towards concentrations of very low and very high income individuals. Although the majority of Newmarket’s residents still </w:t>
      </w:r>
      <w:r w:rsidR="00175B57">
        <w:t>report</w:t>
      </w:r>
      <w:r>
        <w:t xml:space="preserve"> in the ‘middle’ incomes ($25,000-</w:t>
      </w:r>
      <w:r w:rsidR="00175B57">
        <w:t>$75,000), between 2000 and 2013</w:t>
      </w:r>
      <w:r>
        <w:t xml:space="preserve"> the Town saw a 236% increase in households reporting $100,000 of income or greater. Interestingly, in the same period, the community witnessed a 60% increase in those making less than $10,000. </w:t>
      </w:r>
      <w:r w:rsidR="00936176">
        <w:t>It</w:t>
      </w:r>
      <w:r>
        <w:t xml:space="preserve"> is likely that this change is the result of a</w:t>
      </w:r>
      <w:r w:rsidR="00936176">
        <w:t xml:space="preserve"> slight</w:t>
      </w:r>
      <w:r>
        <w:t xml:space="preserve"> increase in </w:t>
      </w:r>
      <w:r w:rsidR="00EE04F9">
        <w:t>UNH</w:t>
      </w:r>
      <w:r w:rsidR="00936176">
        <w:t xml:space="preserve"> student residents and increase in senior population with limited reportable income.</w:t>
      </w:r>
    </w:p>
    <w:tbl>
      <w:tblPr>
        <w:tblStyle w:val="ColorfulList"/>
        <w:tblpPr w:leftFromText="180" w:rightFromText="180" w:vertAnchor="text" w:horzAnchor="margin" w:tblpXSpec="center" w:tblpY="363"/>
        <w:tblW w:w="11512" w:type="dxa"/>
        <w:tblLook w:val="04A0" w:firstRow="1" w:lastRow="0" w:firstColumn="1" w:lastColumn="0" w:noHBand="0" w:noVBand="1"/>
      </w:tblPr>
      <w:tblGrid>
        <w:gridCol w:w="802"/>
        <w:gridCol w:w="2873"/>
        <w:gridCol w:w="842"/>
        <w:gridCol w:w="842"/>
        <w:gridCol w:w="857"/>
        <w:gridCol w:w="1313"/>
        <w:gridCol w:w="1350"/>
        <w:gridCol w:w="1256"/>
        <w:gridCol w:w="1440"/>
      </w:tblGrid>
      <w:tr w:rsidR="00EE04F9" w:rsidRPr="00546909" w:rsidTr="00936176">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02" w:type="dxa"/>
            <w:vMerge w:val="restart"/>
            <w:shd w:val="clear" w:color="auto" w:fill="auto"/>
            <w:noWrap/>
            <w:textDirection w:val="btLr"/>
            <w:vAlign w:val="bottom"/>
            <w:hideMark/>
          </w:tcPr>
          <w:p w:rsidR="00EE04F9" w:rsidRPr="00546909" w:rsidRDefault="00EE04F9" w:rsidP="00EE04F9">
            <w:pPr>
              <w:ind w:left="113" w:right="113"/>
              <w:jc w:val="right"/>
              <w:rPr>
                <w:rFonts w:eastAsia="Times New Roman" w:cs="Times New Roman"/>
                <w:color w:val="FF0000"/>
                <w:sz w:val="18"/>
                <w:szCs w:val="18"/>
              </w:rPr>
            </w:pPr>
          </w:p>
          <w:p w:rsidR="00EE04F9" w:rsidRPr="00920648" w:rsidRDefault="00EE04F9" w:rsidP="00EE04F9">
            <w:pPr>
              <w:ind w:left="113" w:right="113"/>
              <w:jc w:val="right"/>
              <w:rPr>
                <w:rFonts w:eastAsia="Times New Roman" w:cs="Times New Roman"/>
                <w:b w:val="0"/>
                <w:bCs w:val="0"/>
                <w:color w:val="000000"/>
                <w:sz w:val="28"/>
                <w:szCs w:val="28"/>
              </w:rPr>
            </w:pPr>
            <w:r w:rsidRPr="00920648">
              <w:rPr>
                <w:rFonts w:eastAsia="Times New Roman" w:cs="Times New Roman"/>
                <w:b w:val="0"/>
                <w:color w:val="FF0000"/>
                <w:sz w:val="28"/>
                <w:szCs w:val="28"/>
              </w:rPr>
              <w:t>2014 Poverty Rate Threshold: $23,850</w:t>
            </w:r>
            <w:r w:rsidRPr="00920648">
              <w:rPr>
                <w:rFonts w:eastAsia="Times New Roman" w:cs="Times New Roman"/>
                <w:b w:val="0"/>
                <w:color w:val="000000"/>
                <w:sz w:val="28"/>
                <w:szCs w:val="28"/>
              </w:rPr>
              <w:t> </w:t>
            </w:r>
          </w:p>
        </w:tc>
        <w:tc>
          <w:tcPr>
            <w:tcW w:w="10710" w:type="dxa"/>
            <w:gridSpan w:val="8"/>
            <w:noWrap/>
            <w:vAlign w:val="center"/>
            <w:hideMark/>
          </w:tcPr>
          <w:p w:rsidR="00EE04F9" w:rsidRPr="005E7128" w:rsidRDefault="00EE04F9" w:rsidP="001B6562">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8"/>
                <w:szCs w:val="28"/>
              </w:rPr>
            </w:pPr>
            <w:r w:rsidRPr="005E7128">
              <w:rPr>
                <w:rFonts w:eastAsia="Times New Roman" w:cs="Times New Roman"/>
                <w:b w:val="0"/>
                <w:sz w:val="28"/>
                <w:szCs w:val="28"/>
              </w:rPr>
              <w:t xml:space="preserve">Table </w:t>
            </w:r>
            <w:r w:rsidR="001B6562">
              <w:rPr>
                <w:rFonts w:eastAsia="Times New Roman" w:cs="Times New Roman"/>
                <w:b w:val="0"/>
                <w:sz w:val="28"/>
                <w:szCs w:val="28"/>
              </w:rPr>
              <w:t>1</w:t>
            </w:r>
            <w:r w:rsidRPr="005E7128">
              <w:rPr>
                <w:rFonts w:eastAsia="Times New Roman" w:cs="Times New Roman"/>
                <w:b w:val="0"/>
                <w:sz w:val="28"/>
                <w:szCs w:val="28"/>
              </w:rPr>
              <w:t>: Historic Median Household Income and Per Capita Income</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rPr>
                <w:rFonts w:eastAsia="Times New Roman" w:cs="Times New Roman"/>
                <w:color w:val="000000"/>
                <w:sz w:val="18"/>
                <w:szCs w:val="18"/>
              </w:rPr>
            </w:pPr>
          </w:p>
        </w:tc>
        <w:tc>
          <w:tcPr>
            <w:tcW w:w="4525" w:type="dxa"/>
            <w:gridSpan w:val="3"/>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 </w:t>
            </w:r>
          </w:p>
        </w:tc>
        <w:tc>
          <w:tcPr>
            <w:tcW w:w="826"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 </w:t>
            </w:r>
          </w:p>
        </w:tc>
        <w:tc>
          <w:tcPr>
            <w:tcW w:w="2663" w:type="dxa"/>
            <w:gridSpan w:val="2"/>
            <w:noWrap/>
            <w:hideMark/>
          </w:tcPr>
          <w:p w:rsidR="00EE04F9" w:rsidRPr="00546909" w:rsidRDefault="00EE04F9" w:rsidP="00EE04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Change</w:t>
            </w:r>
          </w:p>
        </w:tc>
        <w:tc>
          <w:tcPr>
            <w:tcW w:w="2696" w:type="dxa"/>
            <w:gridSpan w:val="2"/>
            <w:noWrap/>
            <w:hideMark/>
          </w:tcPr>
          <w:p w:rsidR="00EE04F9" w:rsidRPr="00546909" w:rsidRDefault="00EE04F9" w:rsidP="00EE04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Percent Change</w:t>
            </w:r>
            <w:r w:rsidR="00540F7E">
              <w:rPr>
                <w:rFonts w:eastAsia="Times New Roman" w:cs="Times New Roman"/>
                <w:b/>
                <w:color w:val="000000"/>
                <w:sz w:val="18"/>
                <w:szCs w:val="18"/>
              </w:rPr>
              <w:t>**</w:t>
            </w:r>
          </w:p>
        </w:tc>
      </w:tr>
      <w:tr w:rsidR="00EE04F9" w:rsidRPr="00546909" w:rsidTr="00936176">
        <w:trPr>
          <w:trHeight w:val="362"/>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rPr>
                <w:rFonts w:eastAsia="Times New Roman" w:cs="Times New Roman"/>
                <w:color w:val="000000"/>
                <w:sz w:val="18"/>
                <w:szCs w:val="18"/>
              </w:rPr>
            </w:pPr>
          </w:p>
        </w:tc>
        <w:tc>
          <w:tcPr>
            <w:tcW w:w="2873" w:type="dxa"/>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Household Income Group</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1990</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2000</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2013</w:t>
            </w:r>
            <w:r w:rsidR="00936176">
              <w:rPr>
                <w:rFonts w:eastAsia="Times New Roman" w:cs="Times New Roman"/>
                <w:b/>
                <w:color w:val="000000"/>
                <w:sz w:val="18"/>
                <w:szCs w:val="18"/>
              </w:rPr>
              <w:t>**</w:t>
            </w:r>
            <w:r w:rsidR="00691078">
              <w:rPr>
                <w:rFonts w:eastAsia="Times New Roman" w:cs="Times New Roman"/>
                <w:b/>
                <w:color w:val="000000"/>
                <w:sz w:val="18"/>
                <w:szCs w:val="18"/>
              </w:rPr>
              <w:t>*</w:t>
            </w:r>
          </w:p>
        </w:tc>
        <w:tc>
          <w:tcPr>
            <w:tcW w:w="1313"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1990-2000</w:t>
            </w:r>
          </w:p>
        </w:tc>
        <w:tc>
          <w:tcPr>
            <w:tcW w:w="135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2000-2013</w:t>
            </w:r>
            <w:r w:rsidR="00936176">
              <w:rPr>
                <w:rFonts w:eastAsia="Times New Roman" w:cs="Times New Roman"/>
                <w:b/>
                <w:color w:val="000000"/>
                <w:sz w:val="18"/>
                <w:szCs w:val="18"/>
              </w:rPr>
              <w:t>**</w:t>
            </w:r>
            <w:r w:rsidR="00691078">
              <w:rPr>
                <w:rFonts w:eastAsia="Times New Roman" w:cs="Times New Roman"/>
                <w:b/>
                <w:color w:val="000000"/>
                <w:sz w:val="18"/>
                <w:szCs w:val="18"/>
              </w:rPr>
              <w:t>*</w:t>
            </w:r>
          </w:p>
        </w:tc>
        <w:tc>
          <w:tcPr>
            <w:tcW w:w="125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1990-2000</w:t>
            </w:r>
          </w:p>
        </w:tc>
        <w:tc>
          <w:tcPr>
            <w:tcW w:w="144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2000-2013</w:t>
            </w:r>
            <w:r w:rsidR="00936176">
              <w:rPr>
                <w:rFonts w:eastAsia="Times New Roman" w:cs="Times New Roman"/>
                <w:b/>
                <w:color w:val="000000"/>
                <w:sz w:val="18"/>
                <w:szCs w:val="18"/>
              </w:rPr>
              <w:t>**</w:t>
            </w:r>
            <w:r w:rsidR="00691078">
              <w:rPr>
                <w:rFonts w:eastAsia="Times New Roman" w:cs="Times New Roman"/>
                <w:b/>
                <w:color w:val="000000"/>
                <w:sz w:val="18"/>
                <w:szCs w:val="18"/>
              </w:rPr>
              <w:t>*</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rPr>
                <w:rFonts w:eastAsia="Times New Roman" w:cs="Times New Roman"/>
                <w:color w:val="000000"/>
                <w:sz w:val="18"/>
                <w:szCs w:val="18"/>
              </w:rPr>
            </w:pPr>
          </w:p>
        </w:tc>
        <w:tc>
          <w:tcPr>
            <w:tcW w:w="2873"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Less than 10,000</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311</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210</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337</w:t>
            </w:r>
          </w:p>
        </w:tc>
        <w:tc>
          <w:tcPr>
            <w:tcW w:w="1313"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-101</w:t>
            </w:r>
          </w:p>
        </w:tc>
        <w:tc>
          <w:tcPr>
            <w:tcW w:w="135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127</w:t>
            </w:r>
          </w:p>
        </w:tc>
        <w:tc>
          <w:tcPr>
            <w:tcW w:w="125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-32%</w:t>
            </w:r>
          </w:p>
        </w:tc>
        <w:tc>
          <w:tcPr>
            <w:tcW w:w="144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60%</w:t>
            </w:r>
          </w:p>
        </w:tc>
      </w:tr>
      <w:tr w:rsidR="00EE04F9" w:rsidRPr="00546909" w:rsidTr="00936176">
        <w:trPr>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rPr>
                <w:rFonts w:eastAsia="Times New Roman" w:cs="Times New Roman"/>
                <w:color w:val="000000"/>
                <w:sz w:val="18"/>
                <w:szCs w:val="18"/>
              </w:rPr>
            </w:pPr>
          </w:p>
        </w:tc>
        <w:tc>
          <w:tcPr>
            <w:tcW w:w="2873" w:type="dxa"/>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10,000-14,999</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165</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231</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105</w:t>
            </w:r>
          </w:p>
        </w:tc>
        <w:tc>
          <w:tcPr>
            <w:tcW w:w="1313"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66</w:t>
            </w:r>
          </w:p>
        </w:tc>
        <w:tc>
          <w:tcPr>
            <w:tcW w:w="135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-126</w:t>
            </w:r>
          </w:p>
        </w:tc>
        <w:tc>
          <w:tcPr>
            <w:tcW w:w="125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40%</w:t>
            </w:r>
          </w:p>
        </w:tc>
        <w:tc>
          <w:tcPr>
            <w:tcW w:w="144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-55%</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rPr>
                <w:rFonts w:eastAsia="Times New Roman" w:cs="Times New Roman"/>
                <w:color w:val="000000"/>
                <w:sz w:val="18"/>
                <w:szCs w:val="18"/>
              </w:rPr>
            </w:pPr>
          </w:p>
        </w:tc>
        <w:tc>
          <w:tcPr>
            <w:tcW w:w="2873" w:type="dxa"/>
            <w:tcBorders>
              <w:bottom w:val="single" w:sz="18" w:space="0" w:color="FF0000"/>
            </w:tcBorders>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15,000-24,999</w:t>
            </w:r>
          </w:p>
        </w:tc>
        <w:tc>
          <w:tcPr>
            <w:tcW w:w="826" w:type="dxa"/>
            <w:tcBorders>
              <w:bottom w:val="single" w:sz="18" w:space="0" w:color="FF0000"/>
            </w:tcBorders>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487</w:t>
            </w:r>
          </w:p>
        </w:tc>
        <w:tc>
          <w:tcPr>
            <w:tcW w:w="826" w:type="dxa"/>
            <w:tcBorders>
              <w:bottom w:val="single" w:sz="18" w:space="0" w:color="FF0000"/>
            </w:tcBorders>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446</w:t>
            </w:r>
          </w:p>
        </w:tc>
        <w:tc>
          <w:tcPr>
            <w:tcW w:w="826" w:type="dxa"/>
            <w:tcBorders>
              <w:bottom w:val="single" w:sz="18" w:space="0" w:color="FF0000"/>
            </w:tcBorders>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267</w:t>
            </w:r>
          </w:p>
        </w:tc>
        <w:tc>
          <w:tcPr>
            <w:tcW w:w="1313" w:type="dxa"/>
            <w:tcBorders>
              <w:bottom w:val="single" w:sz="18" w:space="0" w:color="FF0000"/>
            </w:tcBorders>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-41</w:t>
            </w:r>
          </w:p>
        </w:tc>
        <w:tc>
          <w:tcPr>
            <w:tcW w:w="1350" w:type="dxa"/>
            <w:tcBorders>
              <w:bottom w:val="single" w:sz="18" w:space="0" w:color="FF0000"/>
            </w:tcBorders>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-179</w:t>
            </w:r>
          </w:p>
        </w:tc>
        <w:tc>
          <w:tcPr>
            <w:tcW w:w="1256" w:type="dxa"/>
            <w:tcBorders>
              <w:bottom w:val="single" w:sz="18" w:space="0" w:color="FF0000"/>
            </w:tcBorders>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w:t>
            </w:r>
          </w:p>
        </w:tc>
        <w:tc>
          <w:tcPr>
            <w:tcW w:w="1440" w:type="dxa"/>
            <w:tcBorders>
              <w:bottom w:val="single" w:sz="18" w:space="0" w:color="FF0000"/>
            </w:tcBorders>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-40%</w:t>
            </w:r>
          </w:p>
        </w:tc>
      </w:tr>
      <w:tr w:rsidR="00EE04F9" w:rsidRPr="00546909" w:rsidTr="00936176">
        <w:trPr>
          <w:trHeight w:val="315"/>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noWrap/>
            <w:hideMark/>
          </w:tcPr>
          <w:p w:rsidR="00EE04F9" w:rsidRPr="00546909" w:rsidRDefault="00EE04F9" w:rsidP="00EE04F9">
            <w:pPr>
              <w:rPr>
                <w:rFonts w:eastAsia="Times New Roman" w:cs="Times New Roman"/>
                <w:color w:val="000000"/>
                <w:sz w:val="18"/>
                <w:szCs w:val="18"/>
              </w:rPr>
            </w:pPr>
          </w:p>
        </w:tc>
        <w:tc>
          <w:tcPr>
            <w:tcW w:w="2873" w:type="dxa"/>
            <w:tcBorders>
              <w:top w:val="single" w:sz="18" w:space="0" w:color="FF0000"/>
            </w:tcBorders>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25,000-34,999</w:t>
            </w:r>
          </w:p>
        </w:tc>
        <w:tc>
          <w:tcPr>
            <w:tcW w:w="826" w:type="dxa"/>
            <w:tcBorders>
              <w:top w:val="single" w:sz="18" w:space="0" w:color="FF0000"/>
            </w:tcBorders>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592</w:t>
            </w:r>
          </w:p>
        </w:tc>
        <w:tc>
          <w:tcPr>
            <w:tcW w:w="826" w:type="dxa"/>
            <w:tcBorders>
              <w:top w:val="single" w:sz="18" w:space="0" w:color="FF0000"/>
            </w:tcBorders>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368</w:t>
            </w:r>
          </w:p>
        </w:tc>
        <w:tc>
          <w:tcPr>
            <w:tcW w:w="826" w:type="dxa"/>
            <w:tcBorders>
              <w:top w:val="single" w:sz="18" w:space="0" w:color="FF0000"/>
            </w:tcBorders>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346</w:t>
            </w:r>
          </w:p>
        </w:tc>
        <w:tc>
          <w:tcPr>
            <w:tcW w:w="1313" w:type="dxa"/>
            <w:tcBorders>
              <w:top w:val="single" w:sz="18" w:space="0" w:color="FF0000"/>
            </w:tcBorders>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-224</w:t>
            </w:r>
          </w:p>
        </w:tc>
        <w:tc>
          <w:tcPr>
            <w:tcW w:w="1350" w:type="dxa"/>
            <w:tcBorders>
              <w:top w:val="single" w:sz="18" w:space="0" w:color="FF0000"/>
            </w:tcBorders>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-22</w:t>
            </w:r>
          </w:p>
        </w:tc>
        <w:tc>
          <w:tcPr>
            <w:tcW w:w="1256" w:type="dxa"/>
            <w:tcBorders>
              <w:top w:val="single" w:sz="18" w:space="0" w:color="FF0000"/>
            </w:tcBorders>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-38%</w:t>
            </w:r>
          </w:p>
        </w:tc>
        <w:tc>
          <w:tcPr>
            <w:tcW w:w="1440" w:type="dxa"/>
            <w:tcBorders>
              <w:top w:val="single" w:sz="18" w:space="0" w:color="FF0000"/>
            </w:tcBorders>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35,000-49,999</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689</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604</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509</w:t>
            </w:r>
          </w:p>
        </w:tc>
        <w:tc>
          <w:tcPr>
            <w:tcW w:w="1313"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-85</w:t>
            </w:r>
          </w:p>
        </w:tc>
        <w:tc>
          <w:tcPr>
            <w:tcW w:w="135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-95</w:t>
            </w:r>
          </w:p>
        </w:tc>
        <w:tc>
          <w:tcPr>
            <w:tcW w:w="125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-12%</w:t>
            </w:r>
          </w:p>
        </w:tc>
        <w:tc>
          <w:tcPr>
            <w:tcW w:w="144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-16%</w:t>
            </w:r>
          </w:p>
        </w:tc>
      </w:tr>
      <w:tr w:rsidR="00EE04F9" w:rsidRPr="00546909" w:rsidTr="00936176">
        <w:trPr>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50,000-74,999</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523</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825</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752</w:t>
            </w:r>
          </w:p>
        </w:tc>
        <w:tc>
          <w:tcPr>
            <w:tcW w:w="1313"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302</w:t>
            </w:r>
          </w:p>
        </w:tc>
        <w:tc>
          <w:tcPr>
            <w:tcW w:w="135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-73</w:t>
            </w:r>
          </w:p>
        </w:tc>
        <w:tc>
          <w:tcPr>
            <w:tcW w:w="125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58%</w:t>
            </w:r>
          </w:p>
        </w:tc>
        <w:tc>
          <w:tcPr>
            <w:tcW w:w="144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75,000-99,999</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92</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410</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444</w:t>
            </w:r>
          </w:p>
        </w:tc>
        <w:tc>
          <w:tcPr>
            <w:tcW w:w="1313"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318</w:t>
            </w:r>
          </w:p>
        </w:tc>
        <w:tc>
          <w:tcPr>
            <w:tcW w:w="135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34</w:t>
            </w:r>
          </w:p>
        </w:tc>
        <w:tc>
          <w:tcPr>
            <w:tcW w:w="125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346%</w:t>
            </w:r>
          </w:p>
        </w:tc>
        <w:tc>
          <w:tcPr>
            <w:tcW w:w="144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w:t>
            </w:r>
          </w:p>
        </w:tc>
      </w:tr>
      <w:tr w:rsidR="00EE04F9" w:rsidRPr="00546909" w:rsidTr="00936176">
        <w:trPr>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100,000 or more</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65</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279</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937</w:t>
            </w:r>
          </w:p>
        </w:tc>
        <w:tc>
          <w:tcPr>
            <w:tcW w:w="1313"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214</w:t>
            </w:r>
          </w:p>
        </w:tc>
        <w:tc>
          <w:tcPr>
            <w:tcW w:w="135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658</w:t>
            </w:r>
          </w:p>
        </w:tc>
        <w:tc>
          <w:tcPr>
            <w:tcW w:w="125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329%</w:t>
            </w:r>
          </w:p>
        </w:tc>
        <w:tc>
          <w:tcPr>
            <w:tcW w:w="144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236%</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Total Households</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2,924</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3,373</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3,697</w:t>
            </w:r>
          </w:p>
        </w:tc>
        <w:tc>
          <w:tcPr>
            <w:tcW w:w="1313"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449</w:t>
            </w:r>
          </w:p>
        </w:tc>
        <w:tc>
          <w:tcPr>
            <w:tcW w:w="135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324</w:t>
            </w:r>
          </w:p>
        </w:tc>
        <w:tc>
          <w:tcPr>
            <w:tcW w:w="125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15%</w:t>
            </w:r>
          </w:p>
        </w:tc>
        <w:tc>
          <w:tcPr>
            <w:tcW w:w="144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w:t>
            </w:r>
          </w:p>
        </w:tc>
      </w:tr>
      <w:tr w:rsidR="00EE04F9" w:rsidRPr="00546909" w:rsidTr="00936176">
        <w:trPr>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10710" w:type="dxa"/>
            <w:gridSpan w:val="8"/>
            <w:noWrap/>
            <w:hideMark/>
          </w:tcPr>
          <w:p w:rsidR="00EE04F9" w:rsidRPr="00546909" w:rsidRDefault="00EE04F9" w:rsidP="00EE04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Town of Newmarket</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Median Household Income</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32,348</w:t>
            </w:r>
            <w:r w:rsidR="00540F7E">
              <w:rPr>
                <w:rFonts w:eastAsia="Times New Roman" w:cs="Times New Roman"/>
                <w:color w:val="000000"/>
                <w:sz w:val="18"/>
                <w:szCs w:val="18"/>
              </w:rPr>
              <w:t>*</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46,058</w:t>
            </w:r>
            <w:r w:rsidR="00540F7E">
              <w:rPr>
                <w:rFonts w:eastAsia="Times New Roman" w:cs="Times New Roman"/>
                <w:color w:val="000000"/>
                <w:sz w:val="18"/>
                <w:szCs w:val="18"/>
              </w:rPr>
              <w:t>*</w:t>
            </w:r>
          </w:p>
        </w:tc>
        <w:tc>
          <w:tcPr>
            <w:tcW w:w="826" w:type="dxa"/>
            <w:noWrap/>
            <w:hideMark/>
          </w:tcPr>
          <w:p w:rsidR="00EE04F9" w:rsidRPr="00546909" w:rsidRDefault="00EE04F9" w:rsidP="00EE04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57,429</w:t>
            </w:r>
            <w:r w:rsidR="00540F7E">
              <w:rPr>
                <w:rFonts w:eastAsia="Times New Roman" w:cs="Times New Roman"/>
                <w:color w:val="000000"/>
                <w:sz w:val="18"/>
                <w:szCs w:val="18"/>
              </w:rPr>
              <w:t>*</w:t>
            </w:r>
          </w:p>
        </w:tc>
        <w:tc>
          <w:tcPr>
            <w:tcW w:w="1313"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13,710</w:t>
            </w:r>
            <w:r w:rsidR="00540F7E">
              <w:rPr>
                <w:rFonts w:eastAsia="Times New Roman" w:cs="Times New Roman"/>
                <w:color w:val="000000"/>
                <w:sz w:val="18"/>
                <w:szCs w:val="18"/>
              </w:rPr>
              <w:t>*</w:t>
            </w:r>
          </w:p>
        </w:tc>
        <w:tc>
          <w:tcPr>
            <w:tcW w:w="135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11,371</w:t>
            </w:r>
            <w:r w:rsidR="00540F7E">
              <w:rPr>
                <w:rFonts w:eastAsia="Times New Roman" w:cs="Times New Roman"/>
                <w:color w:val="000000"/>
                <w:sz w:val="18"/>
                <w:szCs w:val="18"/>
              </w:rPr>
              <w:t>*</w:t>
            </w:r>
          </w:p>
        </w:tc>
        <w:tc>
          <w:tcPr>
            <w:tcW w:w="125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42%</w:t>
            </w:r>
          </w:p>
        </w:tc>
        <w:tc>
          <w:tcPr>
            <w:tcW w:w="144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25%</w:t>
            </w:r>
          </w:p>
        </w:tc>
      </w:tr>
      <w:tr w:rsidR="00EE04F9" w:rsidRPr="00546909" w:rsidTr="00936176">
        <w:trPr>
          <w:trHeight w:val="273"/>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Per Capita Income</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15,078</w:t>
            </w:r>
            <w:r w:rsidR="00540F7E">
              <w:rPr>
                <w:rFonts w:eastAsia="Times New Roman" w:cs="Times New Roman"/>
                <w:color w:val="000000"/>
                <w:sz w:val="18"/>
                <w:szCs w:val="18"/>
              </w:rPr>
              <w:t>*</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22,085</w:t>
            </w:r>
            <w:r w:rsidR="00540F7E">
              <w:rPr>
                <w:rFonts w:eastAsia="Times New Roman" w:cs="Times New Roman"/>
                <w:color w:val="000000"/>
                <w:sz w:val="18"/>
                <w:szCs w:val="18"/>
              </w:rPr>
              <w:t>*</w:t>
            </w:r>
          </w:p>
        </w:tc>
        <w:tc>
          <w:tcPr>
            <w:tcW w:w="826" w:type="dxa"/>
            <w:noWrap/>
            <w:hideMark/>
          </w:tcPr>
          <w:p w:rsidR="00EE04F9" w:rsidRPr="00546909" w:rsidRDefault="00EE04F9" w:rsidP="00EE04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32,244</w:t>
            </w:r>
            <w:r w:rsidR="00540F7E">
              <w:rPr>
                <w:rFonts w:eastAsia="Times New Roman" w:cs="Times New Roman"/>
                <w:color w:val="000000"/>
                <w:sz w:val="18"/>
                <w:szCs w:val="18"/>
              </w:rPr>
              <w:t>*</w:t>
            </w:r>
          </w:p>
        </w:tc>
        <w:tc>
          <w:tcPr>
            <w:tcW w:w="1313"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7,007</w:t>
            </w:r>
            <w:r w:rsidR="00540F7E">
              <w:rPr>
                <w:rFonts w:eastAsia="Times New Roman" w:cs="Times New Roman"/>
                <w:color w:val="000000"/>
                <w:sz w:val="18"/>
                <w:szCs w:val="18"/>
              </w:rPr>
              <w:t>*</w:t>
            </w:r>
          </w:p>
        </w:tc>
        <w:tc>
          <w:tcPr>
            <w:tcW w:w="135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10,159</w:t>
            </w:r>
            <w:r w:rsidR="00540F7E">
              <w:rPr>
                <w:rFonts w:eastAsia="Times New Roman" w:cs="Times New Roman"/>
                <w:color w:val="000000"/>
                <w:sz w:val="18"/>
                <w:szCs w:val="18"/>
              </w:rPr>
              <w:t>*</w:t>
            </w:r>
          </w:p>
        </w:tc>
        <w:tc>
          <w:tcPr>
            <w:tcW w:w="125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46%</w:t>
            </w:r>
          </w:p>
        </w:tc>
        <w:tc>
          <w:tcPr>
            <w:tcW w:w="144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46%</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10710" w:type="dxa"/>
            <w:gridSpan w:val="8"/>
            <w:noWrap/>
            <w:hideMark/>
          </w:tcPr>
          <w:p w:rsidR="00EE04F9" w:rsidRPr="00546909" w:rsidRDefault="00EE04F9" w:rsidP="00EE04F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Newmarket as Percentage of SRPC Planning Region</w:t>
            </w:r>
          </w:p>
        </w:tc>
      </w:tr>
      <w:tr w:rsidR="00EE04F9" w:rsidRPr="00546909" w:rsidTr="00936176">
        <w:trPr>
          <w:trHeight w:val="33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Median Household Income</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98%</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93%</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85%</w:t>
            </w:r>
          </w:p>
        </w:tc>
        <w:tc>
          <w:tcPr>
            <w:tcW w:w="1313"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w:t>
            </w:r>
          </w:p>
        </w:tc>
        <w:tc>
          <w:tcPr>
            <w:tcW w:w="135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w:t>
            </w:r>
          </w:p>
        </w:tc>
        <w:tc>
          <w:tcPr>
            <w:tcW w:w="125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-6%</w:t>
            </w:r>
          </w:p>
        </w:tc>
        <w:tc>
          <w:tcPr>
            <w:tcW w:w="144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Median Per Capita Income</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111%</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101%</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102%</w:t>
            </w:r>
          </w:p>
        </w:tc>
        <w:tc>
          <w:tcPr>
            <w:tcW w:w="1313"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-10%</w:t>
            </w:r>
          </w:p>
        </w:tc>
        <w:tc>
          <w:tcPr>
            <w:tcW w:w="135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w:t>
            </w:r>
          </w:p>
        </w:tc>
        <w:tc>
          <w:tcPr>
            <w:tcW w:w="125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w:t>
            </w:r>
          </w:p>
        </w:tc>
        <w:tc>
          <w:tcPr>
            <w:tcW w:w="144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1%</w:t>
            </w:r>
          </w:p>
        </w:tc>
      </w:tr>
      <w:tr w:rsidR="00EE04F9" w:rsidRPr="00546909" w:rsidTr="00936176">
        <w:trPr>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10710" w:type="dxa"/>
            <w:gridSpan w:val="8"/>
            <w:noWrap/>
            <w:hideMark/>
          </w:tcPr>
          <w:p w:rsidR="00EE04F9" w:rsidRPr="00546909" w:rsidRDefault="00EE04F9" w:rsidP="00EE04F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Newmarket as Percentage of State of New Hampshire</w:t>
            </w:r>
          </w:p>
        </w:tc>
      </w:tr>
      <w:tr w:rsidR="00EE04F9" w:rsidRPr="00546909" w:rsidTr="0093617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Median Household Income</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89%</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94%</w:t>
            </w:r>
          </w:p>
        </w:tc>
        <w:tc>
          <w:tcPr>
            <w:tcW w:w="82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88%</w:t>
            </w:r>
          </w:p>
        </w:tc>
        <w:tc>
          <w:tcPr>
            <w:tcW w:w="1313"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4%</w:t>
            </w:r>
          </w:p>
        </w:tc>
        <w:tc>
          <w:tcPr>
            <w:tcW w:w="135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w:t>
            </w:r>
          </w:p>
        </w:tc>
        <w:tc>
          <w:tcPr>
            <w:tcW w:w="1256"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w:t>
            </w:r>
          </w:p>
        </w:tc>
        <w:tc>
          <w:tcPr>
            <w:tcW w:w="1440" w:type="dxa"/>
            <w:noWrap/>
            <w:hideMark/>
          </w:tcPr>
          <w:p w:rsidR="00EE04F9" w:rsidRPr="00546909" w:rsidRDefault="00EE04F9" w:rsidP="00EE04F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w:t>
            </w:r>
          </w:p>
        </w:tc>
      </w:tr>
      <w:tr w:rsidR="00EE04F9" w:rsidRPr="00546909" w:rsidTr="00936176">
        <w:trPr>
          <w:trHeight w:val="300"/>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EE04F9" w:rsidRPr="00546909" w:rsidRDefault="00EE04F9" w:rsidP="00EE04F9">
            <w:pPr>
              <w:jc w:val="left"/>
              <w:rPr>
                <w:rFonts w:eastAsia="Times New Roman" w:cs="Times New Roman"/>
                <w:color w:val="000000"/>
                <w:sz w:val="18"/>
                <w:szCs w:val="18"/>
              </w:rPr>
            </w:pPr>
          </w:p>
        </w:tc>
        <w:tc>
          <w:tcPr>
            <w:tcW w:w="2873" w:type="dxa"/>
            <w:noWrap/>
            <w:hideMark/>
          </w:tcPr>
          <w:p w:rsidR="00EE04F9" w:rsidRPr="00546909" w:rsidRDefault="00EE04F9" w:rsidP="00EE04F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Median Per Capita Income</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94%</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92%</w:t>
            </w:r>
          </w:p>
        </w:tc>
        <w:tc>
          <w:tcPr>
            <w:tcW w:w="82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97%</w:t>
            </w:r>
          </w:p>
        </w:tc>
        <w:tc>
          <w:tcPr>
            <w:tcW w:w="1313"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w:t>
            </w:r>
          </w:p>
        </w:tc>
        <w:tc>
          <w:tcPr>
            <w:tcW w:w="135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w:t>
            </w:r>
          </w:p>
        </w:tc>
        <w:tc>
          <w:tcPr>
            <w:tcW w:w="1256"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-2%</w:t>
            </w:r>
          </w:p>
        </w:tc>
        <w:tc>
          <w:tcPr>
            <w:tcW w:w="1440" w:type="dxa"/>
            <w:noWrap/>
            <w:hideMark/>
          </w:tcPr>
          <w:p w:rsidR="00EE04F9" w:rsidRPr="00546909" w:rsidRDefault="00EE04F9" w:rsidP="00EE04F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546909">
              <w:rPr>
                <w:rFonts w:eastAsia="Times New Roman" w:cs="Times New Roman"/>
                <w:color w:val="000000"/>
                <w:sz w:val="18"/>
                <w:szCs w:val="18"/>
              </w:rPr>
              <w:t>5%</w:t>
            </w:r>
          </w:p>
        </w:tc>
      </w:tr>
      <w:tr w:rsidR="00936176" w:rsidRPr="00546909" w:rsidTr="00936176">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802" w:type="dxa"/>
            <w:vMerge/>
            <w:shd w:val="clear" w:color="auto" w:fill="auto"/>
            <w:hideMark/>
          </w:tcPr>
          <w:p w:rsidR="00936176" w:rsidRPr="00546909" w:rsidRDefault="00936176" w:rsidP="00EE04F9">
            <w:pPr>
              <w:jc w:val="left"/>
              <w:rPr>
                <w:rFonts w:eastAsia="Times New Roman" w:cs="Times New Roman"/>
                <w:color w:val="000000"/>
                <w:sz w:val="18"/>
                <w:szCs w:val="18"/>
              </w:rPr>
            </w:pPr>
          </w:p>
        </w:tc>
        <w:tc>
          <w:tcPr>
            <w:tcW w:w="10710" w:type="dxa"/>
            <w:gridSpan w:val="8"/>
            <w:shd w:val="clear" w:color="auto" w:fill="auto"/>
            <w:noWrap/>
            <w:hideMark/>
          </w:tcPr>
          <w:p w:rsidR="00936176" w:rsidRPr="005E7128" w:rsidRDefault="00936176" w:rsidP="00936176">
            <w:pPr>
              <w:ind w:left="-442"/>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5E7128">
              <w:rPr>
                <w:rFonts w:eastAsia="Times New Roman" w:cs="Times New Roman"/>
                <w:color w:val="000000"/>
                <w:sz w:val="16"/>
                <w:szCs w:val="16"/>
              </w:rPr>
              <w:t xml:space="preserve">Source: </w:t>
            </w:r>
            <w:r>
              <w:rPr>
                <w:rFonts w:eastAsia="Times New Roman" w:cs="Times New Roman"/>
                <w:color w:val="000000"/>
                <w:sz w:val="16"/>
                <w:szCs w:val="16"/>
              </w:rPr>
              <w:t>U.S. Census Bureau</w:t>
            </w:r>
            <w:r w:rsidRPr="005E7128">
              <w:rPr>
                <w:rFonts w:eastAsia="Times New Roman" w:cs="Times New Roman"/>
                <w:color w:val="000000"/>
                <w:sz w:val="16"/>
                <w:szCs w:val="16"/>
              </w:rPr>
              <w:t>, American Community Survey</w:t>
            </w:r>
          </w:p>
          <w:p w:rsidR="00936176" w:rsidRDefault="00936176" w:rsidP="00936176">
            <w:pPr>
              <w:ind w:left="-442"/>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5E7128">
              <w:rPr>
                <w:rFonts w:eastAsia="Times New Roman" w:cs="Times New Roman"/>
                <w:color w:val="000000"/>
                <w:sz w:val="16"/>
                <w:szCs w:val="16"/>
              </w:rPr>
              <w:t>*Figures in USD</w:t>
            </w:r>
          </w:p>
          <w:p w:rsidR="00691078" w:rsidRDefault="00691078" w:rsidP="00936176">
            <w:pPr>
              <w:ind w:left="-442"/>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**Percent Change numbers are subject to rounding</w:t>
            </w:r>
          </w:p>
          <w:p w:rsidR="00936176" w:rsidRPr="005E7128" w:rsidRDefault="00936176" w:rsidP="00936176">
            <w:pPr>
              <w:ind w:left="-442"/>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691078">
              <w:rPr>
                <w:rFonts w:eastAsia="Times New Roman" w:cs="Times New Roman"/>
                <w:color w:val="000000"/>
                <w:sz w:val="16"/>
                <w:szCs w:val="16"/>
              </w:rPr>
              <w:t>*</w:t>
            </w:r>
            <w:r>
              <w:rPr>
                <w:rFonts w:eastAsia="Times New Roman" w:cs="Times New Roman"/>
                <w:color w:val="000000"/>
                <w:sz w:val="16"/>
                <w:szCs w:val="16"/>
              </w:rPr>
              <w:t>2013 American</w:t>
            </w:r>
            <w:r w:rsidR="00540F7E">
              <w:rPr>
                <w:rFonts w:eastAsia="Times New Roman" w:cs="Times New Roman"/>
                <w:color w:val="000000"/>
                <w:sz w:val="16"/>
                <w:szCs w:val="16"/>
              </w:rPr>
              <w:t xml:space="preserve"> Community Sur</w:t>
            </w:r>
            <w:r>
              <w:rPr>
                <w:rFonts w:eastAsia="Times New Roman" w:cs="Times New Roman"/>
                <w:color w:val="000000"/>
                <w:sz w:val="16"/>
                <w:szCs w:val="16"/>
              </w:rPr>
              <w:t>vey estimates are utilized as income characteristics are no longer included in Decennial Census counts</w:t>
            </w:r>
          </w:p>
        </w:tc>
      </w:tr>
    </w:tbl>
    <w:p w:rsidR="00005EB2" w:rsidRPr="00005EB2" w:rsidRDefault="00BB3C57" w:rsidP="008C5C53">
      <w:pPr>
        <w:pStyle w:val="Heading2"/>
      </w:pPr>
      <w:bookmarkStart w:id="12" w:name="_Toc427316500"/>
      <w:r w:rsidRPr="009128E4">
        <w:rPr>
          <w:noProof/>
        </w:rPr>
        <w:drawing>
          <wp:anchor distT="0" distB="0" distL="114300" distR="114300" simplePos="0" relativeHeight="251672576" behindDoc="0" locked="0" layoutInCell="1" allowOverlap="1" wp14:anchorId="7C115AE0" wp14:editId="40D84AD8">
            <wp:simplePos x="0" y="0"/>
            <wp:positionH relativeFrom="column">
              <wp:posOffset>2066290</wp:posOffset>
            </wp:positionH>
            <wp:positionV relativeFrom="paragraph">
              <wp:posOffset>5015230</wp:posOffset>
            </wp:positionV>
            <wp:extent cx="4690745" cy="322961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EE04F9" w:rsidRPr="009128E4">
        <w:t>Unemployment</w:t>
      </w:r>
      <w:bookmarkEnd w:id="12"/>
    </w:p>
    <w:p w:rsidR="00D35863" w:rsidRDefault="009733E7" w:rsidP="000366F3">
      <w:pPr>
        <w:ind w:left="-720" w:right="-720"/>
      </w:pPr>
      <w:r w:rsidRPr="00BB3C57">
        <w:t>Like all communities across the</w:t>
      </w:r>
      <w:r w:rsidR="00D56819">
        <w:t xml:space="preserve"> S</w:t>
      </w:r>
      <w:r w:rsidRPr="00BB3C57">
        <w:t xml:space="preserve">tate of New Hampshire and United States, Newmarket felt the impacts of the Great Recession </w:t>
      </w:r>
      <w:r w:rsidR="00540F7E">
        <w:t>between 2005 and 2010</w:t>
      </w:r>
      <w:r w:rsidRPr="00BB3C57">
        <w:t xml:space="preserve">. </w:t>
      </w:r>
      <w:r w:rsidR="00BB3C57" w:rsidRPr="00BB3C57">
        <w:t xml:space="preserve">In the one year between 2008 and 2009, unemployment spiked from 3.2% to 5.1%. </w:t>
      </w:r>
    </w:p>
    <w:p w:rsidR="0053535B" w:rsidRPr="00BB3C57" w:rsidRDefault="00D35863" w:rsidP="000366F3">
      <w:pPr>
        <w:ind w:left="-720" w:right="-720"/>
      </w:pPr>
      <w:r>
        <w:t xml:space="preserve">Much </w:t>
      </w:r>
      <w:r w:rsidR="009733E7" w:rsidRPr="00BB3C57">
        <w:t>like national and state values</w:t>
      </w:r>
      <w:r w:rsidR="0053535B" w:rsidRPr="00BB3C57">
        <w:t xml:space="preserve">, </w:t>
      </w:r>
      <w:r w:rsidR="009733E7" w:rsidRPr="00BB3C57">
        <w:t>Newmarket</w:t>
      </w:r>
      <w:r w:rsidR="00BB3C57" w:rsidRPr="00BB3C57">
        <w:t xml:space="preserve">’s unemployment rates have recovered in the last </w:t>
      </w:r>
      <w:proofErr w:type="gramStart"/>
      <w:r w:rsidR="00BB3C57" w:rsidRPr="00BB3C57">
        <w:t>five year</w:t>
      </w:r>
      <w:proofErr w:type="gramEnd"/>
      <w:r w:rsidR="00BB3C57" w:rsidRPr="00BB3C57">
        <w:t xml:space="preserve"> span </w:t>
      </w:r>
      <w:r w:rsidR="0053535B" w:rsidRPr="00BB3C57">
        <w:t xml:space="preserve">to a </w:t>
      </w:r>
      <w:r w:rsidR="009733E7" w:rsidRPr="00BB3C57">
        <w:t>September 2014 low of 3.1%.</w:t>
      </w:r>
    </w:p>
    <w:p w:rsidR="00BA1B4A" w:rsidRDefault="00BA1B4A">
      <w:pPr>
        <w:jc w:val="left"/>
        <w:rPr>
          <w:rFonts w:eastAsiaTheme="majorEastAsia" w:cstheme="majorBidi"/>
          <w:b/>
          <w:bCs/>
          <w:color w:val="4A442A" w:themeColor="background2" w:themeShade="40"/>
          <w:sz w:val="26"/>
          <w:szCs w:val="26"/>
        </w:rPr>
      </w:pPr>
      <w:r>
        <w:br w:type="page"/>
      </w:r>
    </w:p>
    <w:p w:rsidR="00C13035" w:rsidRPr="009128E4" w:rsidRDefault="00C13035" w:rsidP="008C5C53">
      <w:pPr>
        <w:pStyle w:val="Heading2"/>
      </w:pPr>
      <w:bookmarkStart w:id="13" w:name="_Toc427316501"/>
      <w:r w:rsidRPr="009128E4">
        <w:lastRenderedPageBreak/>
        <w:t>Educational Attainment</w:t>
      </w:r>
      <w:bookmarkEnd w:id="13"/>
    </w:p>
    <w:p w:rsidR="00E85EF4" w:rsidRPr="0016783C" w:rsidRDefault="00BE4C8C" w:rsidP="004C0D3A">
      <w:pPr>
        <w:ind w:left="-720"/>
      </w:pPr>
      <w:r w:rsidRPr="0016783C">
        <w:rPr>
          <w:noProof/>
        </w:rPr>
        <w:drawing>
          <wp:anchor distT="0" distB="0" distL="114300" distR="114300" simplePos="0" relativeHeight="251674624" behindDoc="0" locked="0" layoutInCell="1" allowOverlap="1" wp14:anchorId="66EA33F4" wp14:editId="41D80569">
            <wp:simplePos x="0" y="0"/>
            <wp:positionH relativeFrom="column">
              <wp:posOffset>-441960</wp:posOffset>
            </wp:positionH>
            <wp:positionV relativeFrom="paragraph">
              <wp:posOffset>1083945</wp:posOffset>
            </wp:positionV>
            <wp:extent cx="6463665" cy="5013325"/>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4C0D3A" w:rsidRPr="0016783C">
        <w:t xml:space="preserve">Newmarket has a significantly higher percentage of individuals with a bachelor degree or higher </w:t>
      </w:r>
      <w:r w:rsidR="005975BA">
        <w:t>in comparison to</w:t>
      </w:r>
      <w:r w:rsidR="004C0D3A" w:rsidRPr="0016783C">
        <w:t xml:space="preserve"> the</w:t>
      </w:r>
      <w:r w:rsidR="0078551B">
        <w:t xml:space="preserve"> S</w:t>
      </w:r>
      <w:r w:rsidR="004C0D3A" w:rsidRPr="0016783C">
        <w:t xml:space="preserve">tate of New Hampshire. This is likely due to the Town’s proximity to the University of New Hampshire, an engine for regional employment and education. Many of Newmarket’s adjacent communities also display highly educated population bases, </w:t>
      </w:r>
      <w:r w:rsidR="00CE6539">
        <w:t>providing</w:t>
      </w:r>
      <w:r w:rsidR="004C0D3A" w:rsidRPr="0016783C">
        <w:t xml:space="preserve"> them </w:t>
      </w:r>
      <w:r w:rsidR="00CE6539">
        <w:t>with a real</w:t>
      </w:r>
      <w:r w:rsidR="004C0D3A" w:rsidRPr="0016783C">
        <w:t xml:space="preserve"> competitive economic advantage.</w:t>
      </w:r>
    </w:p>
    <w:p w:rsidR="00C6180F" w:rsidRPr="00546909" w:rsidRDefault="00C6180F">
      <w:pPr>
        <w:jc w:val="left"/>
        <w:rPr>
          <w:rFonts w:eastAsiaTheme="majorEastAsia" w:cstheme="majorBidi"/>
          <w:b/>
          <w:bCs/>
          <w:color w:val="4A442A" w:themeColor="background2" w:themeShade="40"/>
          <w:sz w:val="18"/>
          <w:szCs w:val="18"/>
        </w:rPr>
      </w:pPr>
      <w:r w:rsidRPr="00546909">
        <w:rPr>
          <w:sz w:val="18"/>
          <w:szCs w:val="18"/>
        </w:rPr>
        <w:br w:type="page"/>
      </w:r>
    </w:p>
    <w:tbl>
      <w:tblPr>
        <w:tblStyle w:val="ColorfulList"/>
        <w:tblpPr w:leftFromText="180" w:rightFromText="180" w:vertAnchor="text" w:horzAnchor="page" w:tblpX="4815" w:tblpY="455"/>
        <w:tblW w:w="7038" w:type="dxa"/>
        <w:tblLook w:val="04A0" w:firstRow="1" w:lastRow="0" w:firstColumn="1" w:lastColumn="0" w:noHBand="0" w:noVBand="1"/>
      </w:tblPr>
      <w:tblGrid>
        <w:gridCol w:w="4068"/>
        <w:gridCol w:w="1278"/>
        <w:gridCol w:w="1692"/>
      </w:tblGrid>
      <w:tr w:rsidR="00920FE8" w:rsidRPr="00273C78" w:rsidTr="003A724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038" w:type="dxa"/>
            <w:gridSpan w:val="3"/>
            <w:noWrap/>
            <w:vAlign w:val="center"/>
          </w:tcPr>
          <w:p w:rsidR="00920FE8" w:rsidRPr="003A724B" w:rsidRDefault="00920FE8" w:rsidP="001B6562">
            <w:pPr>
              <w:jc w:val="left"/>
              <w:rPr>
                <w:rFonts w:eastAsia="Times New Roman" w:cs="Arial"/>
                <w:b w:val="0"/>
                <w:sz w:val="28"/>
                <w:szCs w:val="28"/>
              </w:rPr>
            </w:pPr>
            <w:r w:rsidRPr="003A724B">
              <w:rPr>
                <w:rFonts w:eastAsia="Times New Roman" w:cs="Arial"/>
                <w:b w:val="0"/>
                <w:sz w:val="28"/>
                <w:szCs w:val="28"/>
              </w:rPr>
              <w:lastRenderedPageBreak/>
              <w:t xml:space="preserve">Table </w:t>
            </w:r>
            <w:r w:rsidR="001B6562">
              <w:rPr>
                <w:rFonts w:eastAsia="Times New Roman" w:cs="Arial"/>
                <w:b w:val="0"/>
                <w:sz w:val="28"/>
                <w:szCs w:val="28"/>
              </w:rPr>
              <w:t>2</w:t>
            </w:r>
            <w:r w:rsidRPr="003A724B">
              <w:rPr>
                <w:rFonts w:eastAsia="Times New Roman" w:cs="Arial"/>
                <w:b w:val="0"/>
                <w:sz w:val="28"/>
                <w:szCs w:val="28"/>
              </w:rPr>
              <w:t>: Industry Share</w:t>
            </w:r>
          </w:p>
        </w:tc>
      </w:tr>
      <w:tr w:rsidR="00920FE8" w:rsidRPr="00273C78" w:rsidTr="0092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273C78" w:rsidRDefault="00920FE8" w:rsidP="00920FE8">
            <w:pPr>
              <w:jc w:val="left"/>
              <w:rPr>
                <w:rFonts w:eastAsia="Times New Roman" w:cs="Arial"/>
                <w:b w:val="0"/>
                <w:color w:val="FFFFFF" w:themeColor="background1"/>
                <w:sz w:val="18"/>
                <w:szCs w:val="18"/>
              </w:rPr>
            </w:pPr>
          </w:p>
        </w:tc>
        <w:tc>
          <w:tcPr>
            <w:tcW w:w="1278" w:type="dxa"/>
            <w:noWrap/>
            <w:hideMark/>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rPr>
            </w:pPr>
            <w:r w:rsidRPr="00273C78">
              <w:rPr>
                <w:rFonts w:eastAsia="Times New Roman" w:cs="Arial"/>
                <w:b/>
                <w:color w:val="auto"/>
                <w:sz w:val="18"/>
                <w:szCs w:val="18"/>
              </w:rPr>
              <w:t>Newmarket </w:t>
            </w:r>
          </w:p>
        </w:tc>
        <w:tc>
          <w:tcPr>
            <w:tcW w:w="1692" w:type="dxa"/>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rPr>
            </w:pPr>
            <w:r w:rsidRPr="00273C78">
              <w:rPr>
                <w:rFonts w:eastAsia="Times New Roman" w:cs="Arial"/>
                <w:b/>
                <w:color w:val="auto"/>
                <w:sz w:val="18"/>
                <w:szCs w:val="18"/>
              </w:rPr>
              <w:t>Rockingham County</w:t>
            </w:r>
          </w:p>
        </w:tc>
      </w:tr>
      <w:tr w:rsidR="00920FE8" w:rsidRPr="00273C78" w:rsidTr="00920FE8">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Agriculture, forestry, fishing and hunting, and mining</w:t>
            </w:r>
          </w:p>
        </w:tc>
        <w:tc>
          <w:tcPr>
            <w:tcW w:w="1278" w:type="dxa"/>
            <w:noWrap/>
            <w:hideMark/>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0.00%</w:t>
            </w:r>
          </w:p>
        </w:tc>
        <w:tc>
          <w:tcPr>
            <w:tcW w:w="1692" w:type="dxa"/>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cs="Arial"/>
                <w:color w:val="222222"/>
                <w:sz w:val="18"/>
                <w:szCs w:val="18"/>
              </w:rPr>
            </w:pPr>
            <w:r w:rsidRPr="00273C78">
              <w:rPr>
                <w:rFonts w:cs="Arial"/>
                <w:color w:val="222222"/>
                <w:sz w:val="18"/>
                <w:szCs w:val="18"/>
              </w:rPr>
              <w:t>0.60%</w:t>
            </w:r>
          </w:p>
        </w:tc>
      </w:tr>
      <w:tr w:rsidR="00920FE8" w:rsidRPr="00273C78" w:rsidTr="0092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Construction</w:t>
            </w:r>
          </w:p>
        </w:tc>
        <w:tc>
          <w:tcPr>
            <w:tcW w:w="1278" w:type="dxa"/>
            <w:noWrap/>
            <w:hideMark/>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5.30%</w:t>
            </w:r>
          </w:p>
        </w:tc>
        <w:tc>
          <w:tcPr>
            <w:tcW w:w="1692" w:type="dxa"/>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73C78">
              <w:rPr>
                <w:rFonts w:cs="Arial"/>
                <w:color w:val="000000"/>
                <w:sz w:val="18"/>
                <w:szCs w:val="18"/>
              </w:rPr>
              <w:t>7.10%</w:t>
            </w:r>
          </w:p>
        </w:tc>
      </w:tr>
      <w:tr w:rsidR="00920FE8" w:rsidRPr="00273C78" w:rsidTr="00920FE8">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Manufacturing</w:t>
            </w:r>
          </w:p>
        </w:tc>
        <w:tc>
          <w:tcPr>
            <w:tcW w:w="1278" w:type="dxa"/>
            <w:noWrap/>
            <w:hideMark/>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273C78">
              <w:rPr>
                <w:rFonts w:eastAsia="Times New Roman" w:cs="Arial"/>
                <w:color w:val="000000"/>
                <w:sz w:val="18"/>
                <w:szCs w:val="18"/>
              </w:rPr>
              <w:t>12.30%</w:t>
            </w:r>
          </w:p>
        </w:tc>
        <w:tc>
          <w:tcPr>
            <w:tcW w:w="1692" w:type="dxa"/>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cs="Arial"/>
                <w:color w:val="222222"/>
                <w:sz w:val="18"/>
                <w:szCs w:val="18"/>
              </w:rPr>
            </w:pPr>
            <w:r w:rsidRPr="00273C78">
              <w:rPr>
                <w:rFonts w:cs="Arial"/>
                <w:color w:val="222222"/>
                <w:sz w:val="18"/>
                <w:szCs w:val="18"/>
              </w:rPr>
              <w:t>12.50%</w:t>
            </w:r>
          </w:p>
        </w:tc>
      </w:tr>
      <w:tr w:rsidR="00920FE8" w:rsidRPr="00273C78" w:rsidTr="0092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Wholesale trade</w:t>
            </w:r>
          </w:p>
        </w:tc>
        <w:tc>
          <w:tcPr>
            <w:tcW w:w="1278" w:type="dxa"/>
            <w:noWrap/>
            <w:hideMark/>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6.10%</w:t>
            </w:r>
          </w:p>
        </w:tc>
        <w:tc>
          <w:tcPr>
            <w:tcW w:w="1692" w:type="dxa"/>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cs="Arial"/>
                <w:color w:val="222222"/>
                <w:sz w:val="18"/>
                <w:szCs w:val="18"/>
              </w:rPr>
            </w:pPr>
            <w:r w:rsidRPr="00273C78">
              <w:rPr>
                <w:rFonts w:cs="Arial"/>
                <w:color w:val="222222"/>
                <w:sz w:val="18"/>
                <w:szCs w:val="18"/>
              </w:rPr>
              <w:t>3.80%</w:t>
            </w:r>
          </w:p>
        </w:tc>
      </w:tr>
      <w:tr w:rsidR="00920FE8" w:rsidRPr="00273C78" w:rsidTr="00920FE8">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Retail trade</w:t>
            </w:r>
          </w:p>
        </w:tc>
        <w:tc>
          <w:tcPr>
            <w:tcW w:w="1278" w:type="dxa"/>
            <w:noWrap/>
            <w:hideMark/>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13.80%</w:t>
            </w:r>
          </w:p>
        </w:tc>
        <w:tc>
          <w:tcPr>
            <w:tcW w:w="1692" w:type="dxa"/>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cs="Arial"/>
                <w:color w:val="222222"/>
                <w:sz w:val="18"/>
                <w:szCs w:val="18"/>
              </w:rPr>
            </w:pPr>
            <w:r w:rsidRPr="00273C78">
              <w:rPr>
                <w:rFonts w:cs="Arial"/>
                <w:color w:val="222222"/>
                <w:sz w:val="18"/>
                <w:szCs w:val="18"/>
              </w:rPr>
              <w:t>13.30%</w:t>
            </w:r>
          </w:p>
        </w:tc>
      </w:tr>
      <w:tr w:rsidR="00920FE8" w:rsidRPr="00273C78" w:rsidTr="0092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Transportation and warehousing, and utilities</w:t>
            </w:r>
          </w:p>
        </w:tc>
        <w:tc>
          <w:tcPr>
            <w:tcW w:w="1278" w:type="dxa"/>
            <w:noWrap/>
            <w:hideMark/>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4.20%</w:t>
            </w:r>
          </w:p>
        </w:tc>
        <w:tc>
          <w:tcPr>
            <w:tcW w:w="1692" w:type="dxa"/>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cs="Arial"/>
                <w:color w:val="222222"/>
                <w:sz w:val="18"/>
                <w:szCs w:val="18"/>
              </w:rPr>
            </w:pPr>
            <w:r w:rsidRPr="00273C78">
              <w:rPr>
                <w:rFonts w:cs="Arial"/>
                <w:color w:val="222222"/>
                <w:sz w:val="18"/>
                <w:szCs w:val="18"/>
              </w:rPr>
              <w:t>4.40%</w:t>
            </w:r>
          </w:p>
        </w:tc>
      </w:tr>
      <w:tr w:rsidR="00920FE8" w:rsidRPr="00273C78" w:rsidTr="00920FE8">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Information</w:t>
            </w:r>
          </w:p>
        </w:tc>
        <w:tc>
          <w:tcPr>
            <w:tcW w:w="1278" w:type="dxa"/>
            <w:noWrap/>
            <w:hideMark/>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2.70%</w:t>
            </w:r>
          </w:p>
        </w:tc>
        <w:tc>
          <w:tcPr>
            <w:tcW w:w="1692" w:type="dxa"/>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cs="Arial"/>
                <w:color w:val="222222"/>
                <w:sz w:val="18"/>
                <w:szCs w:val="18"/>
              </w:rPr>
            </w:pPr>
            <w:r w:rsidRPr="00273C78">
              <w:rPr>
                <w:rFonts w:cs="Arial"/>
                <w:color w:val="222222"/>
                <w:sz w:val="18"/>
                <w:szCs w:val="18"/>
              </w:rPr>
              <w:t>2.60%</w:t>
            </w:r>
          </w:p>
        </w:tc>
      </w:tr>
      <w:tr w:rsidR="00920FE8" w:rsidRPr="00273C78" w:rsidTr="0092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Finance and insurance, and real estate and rental and leasing</w:t>
            </w:r>
          </w:p>
        </w:tc>
        <w:tc>
          <w:tcPr>
            <w:tcW w:w="1278" w:type="dxa"/>
            <w:noWrap/>
            <w:hideMark/>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2.70%</w:t>
            </w:r>
          </w:p>
        </w:tc>
        <w:tc>
          <w:tcPr>
            <w:tcW w:w="1692" w:type="dxa"/>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cs="Arial"/>
                <w:color w:val="222222"/>
                <w:sz w:val="18"/>
                <w:szCs w:val="18"/>
              </w:rPr>
            </w:pPr>
            <w:r w:rsidRPr="00273C78">
              <w:rPr>
                <w:rFonts w:cs="Arial"/>
                <w:color w:val="222222"/>
                <w:sz w:val="18"/>
                <w:szCs w:val="18"/>
              </w:rPr>
              <w:t>6.70%</w:t>
            </w:r>
          </w:p>
        </w:tc>
      </w:tr>
      <w:tr w:rsidR="00920FE8" w:rsidRPr="00273C78" w:rsidTr="00920FE8">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Professional, scientific, and management, and administrative and waste management services</w:t>
            </w:r>
          </w:p>
        </w:tc>
        <w:tc>
          <w:tcPr>
            <w:tcW w:w="1278" w:type="dxa"/>
            <w:noWrap/>
            <w:hideMark/>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11.80%</w:t>
            </w:r>
          </w:p>
        </w:tc>
        <w:tc>
          <w:tcPr>
            <w:tcW w:w="1692" w:type="dxa"/>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cs="Arial"/>
                <w:color w:val="222222"/>
                <w:sz w:val="18"/>
                <w:szCs w:val="18"/>
              </w:rPr>
            </w:pPr>
            <w:r w:rsidRPr="00273C78">
              <w:rPr>
                <w:rFonts w:cs="Arial"/>
                <w:color w:val="222222"/>
                <w:sz w:val="18"/>
                <w:szCs w:val="18"/>
              </w:rPr>
              <w:t>11.20%</w:t>
            </w:r>
          </w:p>
        </w:tc>
      </w:tr>
      <w:tr w:rsidR="00920FE8" w:rsidRPr="00273C78" w:rsidTr="0092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Educational services, and health care and social assistance</w:t>
            </w:r>
          </w:p>
        </w:tc>
        <w:tc>
          <w:tcPr>
            <w:tcW w:w="1278" w:type="dxa"/>
            <w:noWrap/>
            <w:hideMark/>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25.00%</w:t>
            </w:r>
          </w:p>
        </w:tc>
        <w:tc>
          <w:tcPr>
            <w:tcW w:w="1692" w:type="dxa"/>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cs="Arial"/>
                <w:color w:val="222222"/>
                <w:sz w:val="18"/>
                <w:szCs w:val="18"/>
              </w:rPr>
            </w:pPr>
            <w:r w:rsidRPr="00273C78">
              <w:rPr>
                <w:rFonts w:cs="Arial"/>
                <w:color w:val="222222"/>
                <w:sz w:val="18"/>
                <w:szCs w:val="18"/>
              </w:rPr>
              <w:t>22.00%</w:t>
            </w:r>
          </w:p>
        </w:tc>
      </w:tr>
      <w:tr w:rsidR="00920FE8" w:rsidRPr="00273C78" w:rsidTr="00920FE8">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Arts, entertainment, and recreation, and accommodation and food services</w:t>
            </w:r>
          </w:p>
        </w:tc>
        <w:tc>
          <w:tcPr>
            <w:tcW w:w="1278" w:type="dxa"/>
            <w:noWrap/>
            <w:hideMark/>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11.20%</w:t>
            </w:r>
          </w:p>
        </w:tc>
        <w:tc>
          <w:tcPr>
            <w:tcW w:w="1692" w:type="dxa"/>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cs="Arial"/>
                <w:color w:val="222222"/>
                <w:sz w:val="18"/>
                <w:szCs w:val="18"/>
              </w:rPr>
            </w:pPr>
            <w:r w:rsidRPr="00273C78">
              <w:rPr>
                <w:rFonts w:cs="Arial"/>
                <w:color w:val="222222"/>
                <w:sz w:val="18"/>
                <w:szCs w:val="18"/>
              </w:rPr>
              <w:t>7.80%</w:t>
            </w:r>
          </w:p>
        </w:tc>
      </w:tr>
      <w:tr w:rsidR="00920FE8" w:rsidRPr="00273C78" w:rsidTr="0092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Other services, except public administration</w:t>
            </w:r>
          </w:p>
        </w:tc>
        <w:tc>
          <w:tcPr>
            <w:tcW w:w="1278" w:type="dxa"/>
            <w:noWrap/>
            <w:hideMark/>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2.60%</w:t>
            </w:r>
          </w:p>
        </w:tc>
        <w:tc>
          <w:tcPr>
            <w:tcW w:w="1692" w:type="dxa"/>
          </w:tcPr>
          <w:p w:rsidR="00920FE8" w:rsidRPr="00273C78" w:rsidRDefault="00920FE8" w:rsidP="00920FE8">
            <w:pPr>
              <w:jc w:val="right"/>
              <w:cnfStyle w:val="000000100000" w:firstRow="0" w:lastRow="0" w:firstColumn="0" w:lastColumn="0" w:oddVBand="0" w:evenVBand="0" w:oddHBand="1" w:evenHBand="0" w:firstRowFirstColumn="0" w:firstRowLastColumn="0" w:lastRowFirstColumn="0" w:lastRowLastColumn="0"/>
              <w:rPr>
                <w:rFonts w:cs="Arial"/>
                <w:color w:val="222222"/>
                <w:sz w:val="18"/>
                <w:szCs w:val="18"/>
              </w:rPr>
            </w:pPr>
            <w:r w:rsidRPr="00273C78">
              <w:rPr>
                <w:rFonts w:cs="Arial"/>
                <w:color w:val="222222"/>
                <w:sz w:val="18"/>
                <w:szCs w:val="18"/>
              </w:rPr>
              <w:t>4.50%</w:t>
            </w:r>
          </w:p>
        </w:tc>
      </w:tr>
      <w:tr w:rsidR="00920FE8" w:rsidRPr="00273C78" w:rsidTr="00920FE8">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rsidR="00920FE8" w:rsidRPr="001B380F" w:rsidRDefault="00920FE8" w:rsidP="00920FE8">
            <w:pPr>
              <w:jc w:val="left"/>
              <w:rPr>
                <w:rFonts w:eastAsia="Times New Roman" w:cs="Arial"/>
                <w:b w:val="0"/>
                <w:color w:val="auto"/>
                <w:sz w:val="18"/>
                <w:szCs w:val="18"/>
              </w:rPr>
            </w:pPr>
            <w:r w:rsidRPr="001B380F">
              <w:rPr>
                <w:rFonts w:eastAsia="Times New Roman" w:cs="Arial"/>
                <w:b w:val="0"/>
                <w:color w:val="auto"/>
                <w:sz w:val="18"/>
                <w:szCs w:val="18"/>
              </w:rPr>
              <w:t>Public administration</w:t>
            </w:r>
          </w:p>
        </w:tc>
        <w:tc>
          <w:tcPr>
            <w:tcW w:w="1278" w:type="dxa"/>
            <w:noWrap/>
            <w:hideMark/>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222222"/>
                <w:sz w:val="18"/>
                <w:szCs w:val="18"/>
              </w:rPr>
            </w:pPr>
            <w:r w:rsidRPr="00273C78">
              <w:rPr>
                <w:rFonts w:eastAsia="Times New Roman" w:cs="Arial"/>
                <w:color w:val="222222"/>
                <w:sz w:val="18"/>
                <w:szCs w:val="18"/>
              </w:rPr>
              <w:t>2.30%</w:t>
            </w:r>
          </w:p>
        </w:tc>
        <w:tc>
          <w:tcPr>
            <w:tcW w:w="1692" w:type="dxa"/>
          </w:tcPr>
          <w:p w:rsidR="00920FE8" w:rsidRPr="00273C78" w:rsidRDefault="00920FE8" w:rsidP="00920FE8">
            <w:pPr>
              <w:jc w:val="right"/>
              <w:cnfStyle w:val="000000000000" w:firstRow="0" w:lastRow="0" w:firstColumn="0" w:lastColumn="0" w:oddVBand="0" w:evenVBand="0" w:oddHBand="0" w:evenHBand="0" w:firstRowFirstColumn="0" w:firstRowLastColumn="0" w:lastRowFirstColumn="0" w:lastRowLastColumn="0"/>
              <w:rPr>
                <w:rFonts w:cs="Arial"/>
                <w:color w:val="222222"/>
                <w:sz w:val="18"/>
                <w:szCs w:val="18"/>
              </w:rPr>
            </w:pPr>
            <w:r w:rsidRPr="00273C78">
              <w:rPr>
                <w:rFonts w:cs="Arial"/>
                <w:color w:val="222222"/>
                <w:sz w:val="18"/>
                <w:szCs w:val="18"/>
              </w:rPr>
              <w:t>3.80%</w:t>
            </w:r>
          </w:p>
        </w:tc>
      </w:tr>
      <w:tr w:rsidR="00920FE8" w:rsidRPr="00273C78" w:rsidTr="003A72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8" w:type="dxa"/>
            <w:gridSpan w:val="3"/>
            <w:shd w:val="clear" w:color="auto" w:fill="auto"/>
            <w:noWrap/>
          </w:tcPr>
          <w:p w:rsidR="00920FE8" w:rsidRPr="008E0AD2" w:rsidRDefault="00920FE8" w:rsidP="00920FE8">
            <w:pPr>
              <w:jc w:val="right"/>
              <w:rPr>
                <w:rFonts w:cs="Arial"/>
                <w:b w:val="0"/>
                <w:color w:val="222222"/>
                <w:sz w:val="16"/>
                <w:szCs w:val="16"/>
              </w:rPr>
            </w:pPr>
            <w:r>
              <w:rPr>
                <w:rFonts w:cs="Arial"/>
                <w:b w:val="0"/>
                <w:color w:val="222222"/>
                <w:sz w:val="16"/>
                <w:szCs w:val="16"/>
              </w:rPr>
              <w:t>Source: American Community Survey 2013</w:t>
            </w:r>
          </w:p>
        </w:tc>
      </w:tr>
    </w:tbl>
    <w:p w:rsidR="009E47C7" w:rsidRDefault="009E47C7" w:rsidP="008C5C53">
      <w:pPr>
        <w:pStyle w:val="Heading2"/>
      </w:pPr>
      <w:bookmarkStart w:id="14" w:name="_Toc427316502"/>
      <w:r w:rsidRPr="009128E4">
        <w:t>Employment Class</w:t>
      </w:r>
      <w:bookmarkEnd w:id="14"/>
    </w:p>
    <w:p w:rsidR="00273C78" w:rsidRDefault="00273C78" w:rsidP="00273C78">
      <w:pPr>
        <w:ind w:left="-720" w:right="-720"/>
      </w:pPr>
      <w:r>
        <w:t xml:space="preserve">In </w:t>
      </w:r>
      <w:r w:rsidR="00283366">
        <w:t>Table 2</w:t>
      </w:r>
      <w:r>
        <w:t xml:space="preserve"> at right, Newmarket and Rockingham County industry employment shares </w:t>
      </w:r>
      <w:proofErr w:type="gramStart"/>
      <w:r>
        <w:t>are presented</w:t>
      </w:r>
      <w:proofErr w:type="gramEnd"/>
      <w:r>
        <w:t xml:space="preserve">. Significant </w:t>
      </w:r>
      <w:r w:rsidR="002A3B05">
        <w:t>variability is</w:t>
      </w:r>
      <w:r>
        <w:t xml:space="preserve"> </w:t>
      </w:r>
      <w:r w:rsidR="002A3B05">
        <w:t>present</w:t>
      </w:r>
      <w:r>
        <w:t xml:space="preserve"> in Wholesale Trade, Arts &amp; Entertainment and </w:t>
      </w:r>
      <w:r w:rsidR="005C65E3">
        <w:t>F</w:t>
      </w:r>
      <w:r>
        <w:t xml:space="preserve">ood </w:t>
      </w:r>
      <w:r w:rsidR="005C65E3">
        <w:t>S</w:t>
      </w:r>
      <w:r>
        <w:t xml:space="preserve">ervices, and Finance </w:t>
      </w:r>
      <w:r w:rsidR="005C65E3">
        <w:t>and</w:t>
      </w:r>
      <w:r>
        <w:t xml:space="preserve"> Insurance. </w:t>
      </w:r>
    </w:p>
    <w:p w:rsidR="00273C78" w:rsidRPr="00273C78" w:rsidRDefault="00273C78" w:rsidP="00273C78">
      <w:pPr>
        <w:ind w:left="-720" w:right="-720"/>
      </w:pPr>
      <w:r>
        <w:t>On</w:t>
      </w:r>
      <w:r w:rsidR="008E0AD2">
        <w:t xml:space="preserve">e-quarter of those </w:t>
      </w:r>
      <w:r w:rsidR="002A3B05">
        <w:t xml:space="preserve">surveyed </w:t>
      </w:r>
      <w:r w:rsidR="008E0AD2">
        <w:t xml:space="preserve">work within the Education </w:t>
      </w:r>
      <w:r w:rsidR="005C65E3">
        <w:t>S</w:t>
      </w:r>
      <w:r w:rsidR="008E0AD2">
        <w:t xml:space="preserve">ervices, </w:t>
      </w:r>
      <w:r w:rsidR="005C65E3">
        <w:t>H</w:t>
      </w:r>
      <w:r w:rsidR="008E0AD2">
        <w:t xml:space="preserve">ealthcare, and </w:t>
      </w:r>
      <w:r w:rsidR="005C65E3">
        <w:t>S</w:t>
      </w:r>
      <w:r w:rsidR="008E0AD2">
        <w:t xml:space="preserve">ocial </w:t>
      </w:r>
      <w:r w:rsidR="005C65E3">
        <w:t>A</w:t>
      </w:r>
      <w:r w:rsidR="008E0AD2">
        <w:t>ssistance field</w:t>
      </w:r>
      <w:r w:rsidR="002A3B05">
        <w:t>s</w:t>
      </w:r>
      <w:r w:rsidR="008E0AD2">
        <w:t xml:space="preserve">. </w:t>
      </w:r>
      <w:r w:rsidR="002A3B05">
        <w:t>C</w:t>
      </w:r>
      <w:r w:rsidR="008E0AD2">
        <w:t xml:space="preserve">oncentrations are also present in </w:t>
      </w:r>
      <w:r w:rsidR="005C65E3">
        <w:t>M</w:t>
      </w:r>
      <w:r w:rsidR="008E0AD2">
        <w:t xml:space="preserve">anufacturing, </w:t>
      </w:r>
      <w:r w:rsidR="005C65E3">
        <w:t>R</w:t>
      </w:r>
      <w:r w:rsidR="008E0AD2">
        <w:t xml:space="preserve">etail </w:t>
      </w:r>
      <w:r w:rsidR="005C65E3">
        <w:t>Tr</w:t>
      </w:r>
      <w:r w:rsidR="008E0AD2">
        <w:t xml:space="preserve">ade, </w:t>
      </w:r>
      <w:r w:rsidR="005C65E3">
        <w:t>P</w:t>
      </w:r>
      <w:r w:rsidR="008E0AD2">
        <w:t xml:space="preserve">rofessional, </w:t>
      </w:r>
      <w:r w:rsidR="005C65E3">
        <w:t>S</w:t>
      </w:r>
      <w:r w:rsidR="008E0AD2">
        <w:t xml:space="preserve">cientific, and </w:t>
      </w:r>
      <w:r w:rsidR="005C65E3">
        <w:t>M</w:t>
      </w:r>
      <w:r w:rsidR="008E0AD2">
        <w:t xml:space="preserve">anagement </w:t>
      </w:r>
      <w:r w:rsidR="005C65E3">
        <w:t>S</w:t>
      </w:r>
      <w:r w:rsidR="008E0AD2">
        <w:t>er</w:t>
      </w:r>
      <w:r w:rsidR="002A3B05">
        <w:t xml:space="preserve">vices, and </w:t>
      </w:r>
      <w:r w:rsidR="005C65E3">
        <w:t>A</w:t>
      </w:r>
      <w:r w:rsidR="002A3B05">
        <w:t xml:space="preserve">rts &amp; </w:t>
      </w:r>
      <w:r w:rsidR="005C65E3">
        <w:t>E</w:t>
      </w:r>
      <w:r w:rsidR="002A3B05">
        <w:t xml:space="preserve">ntertainment at both the </w:t>
      </w:r>
      <w:r w:rsidR="005C65E3">
        <w:t>c</w:t>
      </w:r>
      <w:r w:rsidR="002A3B05">
        <w:t xml:space="preserve">ounty and </w:t>
      </w:r>
      <w:r w:rsidR="005C65E3">
        <w:t>m</w:t>
      </w:r>
      <w:r w:rsidR="002A3B05">
        <w:t>unicipal levels.</w:t>
      </w:r>
    </w:p>
    <w:p w:rsidR="001E2CD1" w:rsidRPr="00546909" w:rsidRDefault="001E2CD1" w:rsidP="009733E7">
      <w:pPr>
        <w:ind w:left="-720"/>
        <w:rPr>
          <w:sz w:val="18"/>
          <w:szCs w:val="18"/>
        </w:rPr>
      </w:pPr>
    </w:p>
    <w:p w:rsidR="009E47C7" w:rsidRDefault="009E47C7" w:rsidP="008C5C53">
      <w:pPr>
        <w:pStyle w:val="Heading2"/>
      </w:pPr>
      <w:bookmarkStart w:id="15" w:name="_Toc427316503"/>
      <w:r w:rsidRPr="009128E4">
        <w:t>Employment by Industry</w:t>
      </w:r>
      <w:bookmarkEnd w:id="15"/>
    </w:p>
    <w:tbl>
      <w:tblPr>
        <w:tblStyle w:val="ColorfulList"/>
        <w:tblpPr w:leftFromText="180" w:rightFromText="180" w:vertAnchor="text" w:horzAnchor="page" w:tblpX="5223" w:tblpY="266"/>
        <w:tblW w:w="6768" w:type="dxa"/>
        <w:tblLayout w:type="fixed"/>
        <w:tblLook w:val="04A0" w:firstRow="1" w:lastRow="0" w:firstColumn="1" w:lastColumn="0" w:noHBand="0" w:noVBand="1"/>
      </w:tblPr>
      <w:tblGrid>
        <w:gridCol w:w="2718"/>
        <w:gridCol w:w="715"/>
        <w:gridCol w:w="715"/>
        <w:gridCol w:w="1438"/>
        <w:gridCol w:w="1182"/>
      </w:tblGrid>
      <w:tr w:rsidR="00E860D8" w:rsidRPr="00546909" w:rsidTr="003A724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6768" w:type="dxa"/>
            <w:gridSpan w:val="5"/>
            <w:vAlign w:val="center"/>
          </w:tcPr>
          <w:p w:rsidR="00E860D8" w:rsidRPr="008E0AD2" w:rsidRDefault="00E860D8" w:rsidP="001B6562">
            <w:pPr>
              <w:spacing w:line="248" w:lineRule="atLeast"/>
              <w:jc w:val="left"/>
              <w:rPr>
                <w:rFonts w:eastAsia="Times New Roman" w:cs="Times New Roman"/>
                <w:b w:val="0"/>
                <w:sz w:val="28"/>
                <w:szCs w:val="28"/>
              </w:rPr>
            </w:pPr>
            <w:r w:rsidRPr="008E0AD2">
              <w:rPr>
                <w:rFonts w:eastAsia="Times New Roman" w:cs="Times New Roman"/>
                <w:b w:val="0"/>
                <w:sz w:val="28"/>
                <w:szCs w:val="28"/>
              </w:rPr>
              <w:t xml:space="preserve">Table </w:t>
            </w:r>
            <w:r w:rsidR="001B6562">
              <w:rPr>
                <w:rFonts w:eastAsia="Times New Roman" w:cs="Times New Roman"/>
                <w:b w:val="0"/>
                <w:sz w:val="28"/>
                <w:szCs w:val="28"/>
              </w:rPr>
              <w:t>3</w:t>
            </w:r>
            <w:r w:rsidRPr="008E0AD2">
              <w:rPr>
                <w:rFonts w:eastAsia="Times New Roman" w:cs="Times New Roman"/>
                <w:b w:val="0"/>
                <w:sz w:val="28"/>
                <w:szCs w:val="28"/>
              </w:rPr>
              <w:t>: Employment By Industry</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color w:val="000000"/>
                <w:sz w:val="18"/>
                <w:szCs w:val="18"/>
              </w:rPr>
            </w:pP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2002</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2012</w:t>
            </w:r>
          </w:p>
        </w:tc>
        <w:tc>
          <w:tcPr>
            <w:tcW w:w="1438" w:type="dxa"/>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Change 2002-2012</w:t>
            </w:r>
          </w:p>
        </w:tc>
        <w:tc>
          <w:tcPr>
            <w:tcW w:w="1182" w:type="dxa"/>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546909">
              <w:rPr>
                <w:rFonts w:eastAsia="Times New Roman" w:cs="Times New Roman"/>
                <w:b/>
                <w:color w:val="000000"/>
                <w:sz w:val="18"/>
                <w:szCs w:val="18"/>
              </w:rPr>
              <w:t>%Change 2002-2012</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6768" w:type="dxa"/>
            <w:gridSpan w:val="5"/>
            <w:hideMark/>
          </w:tcPr>
          <w:p w:rsidR="00E860D8" w:rsidRPr="00546909" w:rsidRDefault="00E860D8" w:rsidP="00E860D8">
            <w:pPr>
              <w:spacing w:line="248" w:lineRule="atLeast"/>
              <w:jc w:val="center"/>
              <w:rPr>
                <w:rFonts w:eastAsia="Times New Roman" w:cs="Times New Roman"/>
                <w:color w:val="000000"/>
                <w:sz w:val="18"/>
                <w:szCs w:val="18"/>
              </w:rPr>
            </w:pPr>
            <w:r w:rsidRPr="00546909">
              <w:rPr>
                <w:rFonts w:eastAsia="Times New Roman" w:cs="Times New Roman"/>
                <w:color w:val="000000"/>
                <w:sz w:val="18"/>
                <w:szCs w:val="18"/>
              </w:rPr>
              <w:t>Goods Producing Industries</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Employment</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406</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235</w:t>
            </w:r>
          </w:p>
        </w:tc>
        <w:tc>
          <w:tcPr>
            <w:tcW w:w="1438" w:type="dxa"/>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-171</w:t>
            </w:r>
          </w:p>
        </w:tc>
        <w:tc>
          <w:tcPr>
            <w:tcW w:w="1182" w:type="dxa"/>
          </w:tcPr>
          <w:p w:rsidR="00E860D8" w:rsidRPr="00546909" w:rsidRDefault="00E860D8" w:rsidP="00E860D8">
            <w:pPr>
              <w:spacing w:line="248"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-42%</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Weekly Wage</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$764</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$956</w:t>
            </w:r>
          </w:p>
        </w:tc>
        <w:tc>
          <w:tcPr>
            <w:tcW w:w="1438" w:type="dxa"/>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+$192</w:t>
            </w:r>
          </w:p>
        </w:tc>
        <w:tc>
          <w:tcPr>
            <w:tcW w:w="1182" w:type="dxa"/>
          </w:tcPr>
          <w:p w:rsidR="00E860D8" w:rsidRPr="00546909" w:rsidRDefault="00E860D8" w:rsidP="00E860D8">
            <w:pPr>
              <w:spacing w:line="248" w:lineRule="atLeas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+25%</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5"/>
            <w:hideMark/>
          </w:tcPr>
          <w:p w:rsidR="00E860D8" w:rsidRPr="00546909" w:rsidRDefault="00E860D8" w:rsidP="00E860D8">
            <w:pPr>
              <w:spacing w:line="248" w:lineRule="atLeast"/>
              <w:jc w:val="center"/>
              <w:rPr>
                <w:rFonts w:eastAsia="Times New Roman" w:cs="Times New Roman"/>
                <w:color w:val="000000"/>
                <w:sz w:val="18"/>
                <w:szCs w:val="18"/>
              </w:rPr>
            </w:pPr>
            <w:r w:rsidRPr="00546909">
              <w:rPr>
                <w:rFonts w:eastAsia="Times New Roman" w:cs="Times New Roman"/>
                <w:color w:val="000000"/>
                <w:sz w:val="18"/>
                <w:szCs w:val="18"/>
              </w:rPr>
              <w:t>Service Providing Industries</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Employment</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780</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668</w:t>
            </w:r>
          </w:p>
        </w:tc>
        <w:tc>
          <w:tcPr>
            <w:tcW w:w="1438" w:type="dxa"/>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-112</w:t>
            </w:r>
          </w:p>
        </w:tc>
        <w:tc>
          <w:tcPr>
            <w:tcW w:w="1182" w:type="dxa"/>
          </w:tcPr>
          <w:p w:rsidR="00E860D8" w:rsidRPr="00546909" w:rsidRDefault="00E860D8" w:rsidP="00E860D8">
            <w:pPr>
              <w:spacing w:line="248" w:lineRule="atLeas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-14%</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Weekly Wage</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$477</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$682</w:t>
            </w:r>
          </w:p>
        </w:tc>
        <w:tc>
          <w:tcPr>
            <w:tcW w:w="1438" w:type="dxa"/>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+$205</w:t>
            </w:r>
          </w:p>
        </w:tc>
        <w:tc>
          <w:tcPr>
            <w:tcW w:w="1182" w:type="dxa"/>
          </w:tcPr>
          <w:p w:rsidR="00E860D8" w:rsidRPr="00546909" w:rsidRDefault="00E860D8" w:rsidP="00E860D8">
            <w:pPr>
              <w:spacing w:line="248"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+43%</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6768" w:type="dxa"/>
            <w:gridSpan w:val="5"/>
            <w:hideMark/>
          </w:tcPr>
          <w:p w:rsidR="00E860D8" w:rsidRPr="00546909" w:rsidRDefault="00E860D8" w:rsidP="00E860D8">
            <w:pPr>
              <w:spacing w:line="248" w:lineRule="atLeast"/>
              <w:jc w:val="center"/>
              <w:rPr>
                <w:rFonts w:eastAsia="Times New Roman" w:cs="Times New Roman"/>
                <w:color w:val="000000"/>
                <w:sz w:val="18"/>
                <w:szCs w:val="18"/>
              </w:rPr>
            </w:pPr>
            <w:r w:rsidRPr="00546909">
              <w:rPr>
                <w:rFonts w:eastAsia="Times New Roman" w:cs="Times New Roman"/>
                <w:color w:val="000000"/>
                <w:sz w:val="18"/>
                <w:szCs w:val="18"/>
              </w:rPr>
              <w:t>Total Private Industry</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Employment</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1,186</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903</w:t>
            </w:r>
          </w:p>
        </w:tc>
        <w:tc>
          <w:tcPr>
            <w:tcW w:w="1438" w:type="dxa"/>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-283</w:t>
            </w:r>
          </w:p>
        </w:tc>
        <w:tc>
          <w:tcPr>
            <w:tcW w:w="1182" w:type="dxa"/>
          </w:tcPr>
          <w:p w:rsidR="00E860D8" w:rsidRPr="00546909" w:rsidRDefault="00E860D8" w:rsidP="00E860D8">
            <w:pPr>
              <w:spacing w:line="248"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-24%</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auto"/>
            </w:tcBorders>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Weekly Wage</w:t>
            </w:r>
          </w:p>
        </w:tc>
        <w:tc>
          <w:tcPr>
            <w:tcW w:w="715" w:type="dxa"/>
            <w:tcBorders>
              <w:bottom w:val="single" w:sz="4" w:space="0" w:color="auto"/>
            </w:tcBorders>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$575</w:t>
            </w:r>
          </w:p>
        </w:tc>
        <w:tc>
          <w:tcPr>
            <w:tcW w:w="715" w:type="dxa"/>
            <w:tcBorders>
              <w:bottom w:val="single" w:sz="4" w:space="0" w:color="auto"/>
            </w:tcBorders>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$753</w:t>
            </w:r>
          </w:p>
        </w:tc>
        <w:tc>
          <w:tcPr>
            <w:tcW w:w="1438" w:type="dxa"/>
            <w:tcBorders>
              <w:bottom w:val="single" w:sz="4" w:space="0" w:color="auto"/>
            </w:tcBorders>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+$178</w:t>
            </w:r>
          </w:p>
        </w:tc>
        <w:tc>
          <w:tcPr>
            <w:tcW w:w="1182" w:type="dxa"/>
            <w:tcBorders>
              <w:bottom w:val="single" w:sz="4" w:space="0" w:color="auto"/>
            </w:tcBorders>
          </w:tcPr>
          <w:p w:rsidR="00E860D8" w:rsidRPr="00546909" w:rsidRDefault="00E860D8" w:rsidP="00E860D8">
            <w:pPr>
              <w:tabs>
                <w:tab w:val="center" w:pos="618"/>
                <w:tab w:val="right" w:pos="966"/>
              </w:tabs>
              <w:spacing w:line="248" w:lineRule="atLeast"/>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Pr>
                <w:rFonts w:eastAsia="Times New Roman" w:cs="Times New Roman"/>
                <w:bCs/>
                <w:color w:val="000000"/>
                <w:sz w:val="18"/>
                <w:szCs w:val="18"/>
              </w:rPr>
              <w:tab/>
            </w:r>
            <w:r>
              <w:rPr>
                <w:rFonts w:eastAsia="Times New Roman" w:cs="Times New Roman"/>
                <w:bCs/>
                <w:color w:val="000000"/>
                <w:sz w:val="18"/>
                <w:szCs w:val="18"/>
              </w:rPr>
              <w:tab/>
            </w:r>
            <w:r w:rsidRPr="00546909">
              <w:rPr>
                <w:rFonts w:eastAsia="Times New Roman" w:cs="Times New Roman"/>
                <w:bCs/>
                <w:color w:val="000000"/>
                <w:sz w:val="18"/>
                <w:szCs w:val="18"/>
              </w:rPr>
              <w:t>+31%</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5"/>
            <w:tcBorders>
              <w:top w:val="single" w:sz="4" w:space="0" w:color="auto"/>
            </w:tcBorders>
            <w:hideMark/>
          </w:tcPr>
          <w:p w:rsidR="00E860D8" w:rsidRPr="00546909" w:rsidRDefault="00E860D8" w:rsidP="00E860D8">
            <w:pPr>
              <w:spacing w:line="248" w:lineRule="atLeast"/>
              <w:jc w:val="center"/>
              <w:rPr>
                <w:rFonts w:eastAsia="Times New Roman" w:cs="Times New Roman"/>
                <w:color w:val="000000"/>
                <w:sz w:val="18"/>
                <w:szCs w:val="18"/>
              </w:rPr>
            </w:pPr>
            <w:r w:rsidRPr="00546909">
              <w:rPr>
                <w:rFonts w:eastAsia="Times New Roman" w:cs="Times New Roman"/>
                <w:color w:val="000000"/>
                <w:sz w:val="18"/>
                <w:szCs w:val="18"/>
              </w:rPr>
              <w:t>Government (Federal, State, and Local)</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Employment</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299</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337</w:t>
            </w:r>
          </w:p>
        </w:tc>
        <w:tc>
          <w:tcPr>
            <w:tcW w:w="1438" w:type="dxa"/>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+38</w:t>
            </w:r>
          </w:p>
        </w:tc>
        <w:tc>
          <w:tcPr>
            <w:tcW w:w="1182" w:type="dxa"/>
          </w:tcPr>
          <w:p w:rsidR="00E860D8" w:rsidRPr="00546909" w:rsidRDefault="00E860D8" w:rsidP="00E860D8">
            <w:pPr>
              <w:spacing w:line="248" w:lineRule="atLeas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12%</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Weekly Wage</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$562</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$731</w:t>
            </w:r>
          </w:p>
        </w:tc>
        <w:tc>
          <w:tcPr>
            <w:tcW w:w="1438" w:type="dxa"/>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+$169</w:t>
            </w:r>
          </w:p>
        </w:tc>
        <w:tc>
          <w:tcPr>
            <w:tcW w:w="1182" w:type="dxa"/>
          </w:tcPr>
          <w:p w:rsidR="00E860D8" w:rsidRPr="00546909" w:rsidRDefault="00E860D8" w:rsidP="00E860D8">
            <w:pPr>
              <w:spacing w:line="248"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+30%</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6768" w:type="dxa"/>
            <w:gridSpan w:val="5"/>
            <w:hideMark/>
          </w:tcPr>
          <w:p w:rsidR="00E860D8" w:rsidRPr="00546909" w:rsidRDefault="00E860D8" w:rsidP="00E860D8">
            <w:pPr>
              <w:spacing w:line="248" w:lineRule="atLeast"/>
              <w:jc w:val="center"/>
              <w:rPr>
                <w:rFonts w:eastAsia="Times New Roman" w:cs="Times New Roman"/>
                <w:color w:val="000000"/>
                <w:sz w:val="18"/>
                <w:szCs w:val="18"/>
              </w:rPr>
            </w:pPr>
            <w:r w:rsidRPr="00546909">
              <w:rPr>
                <w:rFonts w:eastAsia="Times New Roman" w:cs="Times New Roman"/>
                <w:color w:val="000000"/>
                <w:sz w:val="18"/>
                <w:szCs w:val="18"/>
              </w:rPr>
              <w:t>Total, Private plus Government</w:t>
            </w:r>
          </w:p>
        </w:tc>
      </w:tr>
      <w:tr w:rsidR="00E860D8" w:rsidRPr="00546909" w:rsidTr="00E8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Employment</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1,484</w:t>
            </w:r>
          </w:p>
        </w:tc>
        <w:tc>
          <w:tcPr>
            <w:tcW w:w="715" w:type="dxa"/>
            <w:hideMark/>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1,240</w:t>
            </w:r>
          </w:p>
        </w:tc>
        <w:tc>
          <w:tcPr>
            <w:tcW w:w="1438" w:type="dxa"/>
          </w:tcPr>
          <w:p w:rsidR="00E860D8" w:rsidRPr="00546909" w:rsidRDefault="00E860D8" w:rsidP="00E860D8">
            <w:pPr>
              <w:spacing w:line="24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-244</w:t>
            </w:r>
          </w:p>
        </w:tc>
        <w:tc>
          <w:tcPr>
            <w:tcW w:w="1182" w:type="dxa"/>
          </w:tcPr>
          <w:p w:rsidR="00E860D8" w:rsidRPr="00546909" w:rsidRDefault="00E860D8" w:rsidP="00E860D8">
            <w:pPr>
              <w:spacing w:line="248"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-16%</w:t>
            </w:r>
          </w:p>
        </w:tc>
      </w:tr>
      <w:tr w:rsidR="00E860D8" w:rsidRPr="00546909" w:rsidTr="00E860D8">
        <w:tc>
          <w:tcPr>
            <w:cnfStyle w:val="001000000000" w:firstRow="0" w:lastRow="0" w:firstColumn="1" w:lastColumn="0" w:oddVBand="0" w:evenVBand="0" w:oddHBand="0" w:evenHBand="0" w:firstRowFirstColumn="0" w:firstRowLastColumn="0" w:lastRowFirstColumn="0" w:lastRowLastColumn="0"/>
            <w:tcW w:w="2718" w:type="dxa"/>
            <w:hideMark/>
          </w:tcPr>
          <w:p w:rsidR="00E860D8" w:rsidRPr="00546909" w:rsidRDefault="00E860D8" w:rsidP="00E860D8">
            <w:pPr>
              <w:spacing w:line="248" w:lineRule="atLeast"/>
              <w:jc w:val="center"/>
              <w:rPr>
                <w:rFonts w:eastAsia="Times New Roman" w:cs="Times New Roman"/>
                <w:b w:val="0"/>
                <w:color w:val="000000"/>
                <w:sz w:val="18"/>
                <w:szCs w:val="18"/>
              </w:rPr>
            </w:pPr>
            <w:r w:rsidRPr="00546909">
              <w:rPr>
                <w:rFonts w:eastAsia="Times New Roman" w:cs="Times New Roman"/>
                <w:b w:val="0"/>
                <w:color w:val="000000"/>
                <w:sz w:val="18"/>
                <w:szCs w:val="18"/>
              </w:rPr>
              <w:t>Average Weekly Wage</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$573</w:t>
            </w:r>
          </w:p>
        </w:tc>
        <w:tc>
          <w:tcPr>
            <w:tcW w:w="715" w:type="dxa"/>
            <w:hideMark/>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$747</w:t>
            </w:r>
          </w:p>
        </w:tc>
        <w:tc>
          <w:tcPr>
            <w:tcW w:w="1438" w:type="dxa"/>
          </w:tcPr>
          <w:p w:rsidR="00E860D8" w:rsidRPr="00546909" w:rsidRDefault="00E860D8" w:rsidP="00E860D8">
            <w:pPr>
              <w:spacing w:line="24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+$174</w:t>
            </w:r>
          </w:p>
        </w:tc>
        <w:tc>
          <w:tcPr>
            <w:tcW w:w="1182" w:type="dxa"/>
          </w:tcPr>
          <w:p w:rsidR="00E860D8" w:rsidRPr="00546909" w:rsidRDefault="00E860D8" w:rsidP="00E860D8">
            <w:pPr>
              <w:spacing w:line="248" w:lineRule="atLeast"/>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rPr>
            </w:pPr>
            <w:r w:rsidRPr="00546909">
              <w:rPr>
                <w:rFonts w:eastAsia="Times New Roman" w:cs="Times New Roman"/>
                <w:bCs/>
                <w:color w:val="000000"/>
                <w:sz w:val="18"/>
                <w:szCs w:val="18"/>
              </w:rPr>
              <w:t>+30%</w:t>
            </w:r>
          </w:p>
        </w:tc>
      </w:tr>
      <w:tr w:rsidR="00E860D8" w:rsidRPr="00546909" w:rsidTr="003A7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5"/>
            <w:shd w:val="clear" w:color="auto" w:fill="auto"/>
          </w:tcPr>
          <w:p w:rsidR="00E860D8" w:rsidRPr="00E860D8" w:rsidRDefault="00E860D8" w:rsidP="00E860D8">
            <w:pPr>
              <w:spacing w:line="248" w:lineRule="atLeast"/>
              <w:jc w:val="right"/>
              <w:rPr>
                <w:rFonts w:eastAsia="Times New Roman" w:cs="Times New Roman"/>
                <w:b w:val="0"/>
                <w:color w:val="000000"/>
                <w:sz w:val="16"/>
                <w:szCs w:val="16"/>
              </w:rPr>
            </w:pPr>
            <w:r w:rsidRPr="00E860D8">
              <w:rPr>
                <w:rFonts w:eastAsia="Times New Roman" w:cs="Times New Roman"/>
                <w:b w:val="0"/>
                <w:color w:val="000000"/>
                <w:sz w:val="16"/>
                <w:szCs w:val="16"/>
              </w:rPr>
              <w:t>Source: New Hampshire Employment Security</w:t>
            </w:r>
          </w:p>
        </w:tc>
      </w:tr>
    </w:tbl>
    <w:p w:rsidR="00593B60" w:rsidRDefault="00593B60" w:rsidP="00593B60">
      <w:pPr>
        <w:ind w:left="-720"/>
      </w:pPr>
      <w:r>
        <w:t xml:space="preserve">Newmarket, in the 10-year period between 2002 and 2012, </w:t>
      </w:r>
      <w:r w:rsidR="00216D13">
        <w:t>experienced</w:t>
      </w:r>
      <w:r>
        <w:t xml:space="preserve"> decreases in all industry employment, </w:t>
      </w:r>
      <w:r w:rsidR="00216D13">
        <w:t>with the exception of</w:t>
      </w:r>
      <w:r>
        <w:t xml:space="preserve"> federal, state, and local government, according to New Hampshire Employment Security. Overall employment decreased by 16%, a result of the recession and changes in Newmarket’s demographics, particularly a shift towards more college-age residents. </w:t>
      </w:r>
    </w:p>
    <w:p w:rsidR="00593B60" w:rsidRPr="00593B60" w:rsidRDefault="00593B60" w:rsidP="00593B60">
      <w:pPr>
        <w:ind w:left="-720"/>
      </w:pPr>
      <w:r>
        <w:t xml:space="preserve">Goods </w:t>
      </w:r>
      <w:r w:rsidR="005C65E3">
        <w:t>P</w:t>
      </w:r>
      <w:r>
        <w:t xml:space="preserve">roducing </w:t>
      </w:r>
      <w:r w:rsidR="005C65E3">
        <w:t>I</w:t>
      </w:r>
      <w:r>
        <w:t xml:space="preserve">ndustries </w:t>
      </w:r>
      <w:proofErr w:type="gramStart"/>
      <w:r>
        <w:t xml:space="preserve">were particularly strongly </w:t>
      </w:r>
      <w:r w:rsidR="00216D13">
        <w:t>impacted</w:t>
      </w:r>
      <w:proofErr w:type="gramEnd"/>
      <w:r>
        <w:t xml:space="preserve">, with a 42% loss over the sample decade. </w:t>
      </w:r>
      <w:proofErr w:type="gramStart"/>
      <w:r>
        <w:t xml:space="preserve">Meanwhile, </w:t>
      </w:r>
      <w:r w:rsidR="005C65E3">
        <w:t>S</w:t>
      </w:r>
      <w:r>
        <w:t xml:space="preserve">ervice </w:t>
      </w:r>
      <w:r w:rsidR="005C65E3">
        <w:t>Producing I</w:t>
      </w:r>
      <w:r>
        <w:t>n</w:t>
      </w:r>
      <w:r w:rsidR="00216D13">
        <w:t xml:space="preserve">dustry employment decreased by </w:t>
      </w:r>
      <w:r>
        <w:t>14%.</w:t>
      </w:r>
      <w:proofErr w:type="gramEnd"/>
      <w:r>
        <w:t xml:space="preserve"> Together making up the classification of Private Industry, Service and Goods Producing Industries together represented a 24%</w:t>
      </w:r>
      <w:r w:rsidR="00216D13">
        <w:t xml:space="preserve"> overall</w:t>
      </w:r>
      <w:r>
        <w:t xml:space="preserve"> employment loss, despite a 31% increase in wages.</w:t>
      </w:r>
    </w:p>
    <w:bookmarkStart w:id="16" w:name="_Toc427316504"/>
    <w:p w:rsidR="009E47C7" w:rsidRPr="009128E4" w:rsidRDefault="00F04A9F" w:rsidP="008C5C53">
      <w:pPr>
        <w:pStyle w:val="Heading2"/>
      </w:pPr>
      <w:r>
        <w:rPr>
          <w:noProof/>
        </w:rPr>
        <w:lastRenderedPageBreak/>
        <mc:AlternateContent>
          <mc:Choice Requires="wpg">
            <w:drawing>
              <wp:anchor distT="0" distB="0" distL="114300" distR="114300" simplePos="0" relativeHeight="251683840" behindDoc="0" locked="0" layoutInCell="1" allowOverlap="1" wp14:anchorId="17546AF5" wp14:editId="1C97FC5E">
                <wp:simplePos x="0" y="0"/>
                <wp:positionH relativeFrom="column">
                  <wp:posOffset>2884805</wp:posOffset>
                </wp:positionH>
                <wp:positionV relativeFrom="paragraph">
                  <wp:posOffset>72390</wp:posOffset>
                </wp:positionV>
                <wp:extent cx="3507740" cy="2977517"/>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507740" cy="2977517"/>
                          <a:chOff x="0" y="0"/>
                          <a:chExt cx="3509521" cy="2978264"/>
                        </a:xfrm>
                      </wpg:grpSpPr>
                      <pic:pic xmlns:pic="http://schemas.openxmlformats.org/drawingml/2006/picture">
                        <pic:nvPicPr>
                          <pic:cNvPr id="5" name="Picture 5" descr="http://content.angieslist.com/2014/11/6/46fec59b-e919-45cb-a739-1873f0ae5eb5.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9521" cy="2632141"/>
                          </a:xfrm>
                          <a:prstGeom prst="rect">
                            <a:avLst/>
                          </a:prstGeom>
                          <a:noFill/>
                          <a:ln>
                            <a:noFill/>
                          </a:ln>
                        </pic:spPr>
                      </pic:pic>
                      <wps:wsp>
                        <wps:cNvPr id="307" name="Text Box 2"/>
                        <wps:cNvSpPr txBox="1">
                          <a:spLocks noChangeArrowheads="1"/>
                        </wps:cNvSpPr>
                        <wps:spPr bwMode="auto">
                          <a:xfrm>
                            <a:off x="899090" y="2606697"/>
                            <a:ext cx="2571784" cy="371567"/>
                          </a:xfrm>
                          <a:prstGeom prst="rect">
                            <a:avLst/>
                          </a:prstGeom>
                          <a:solidFill>
                            <a:srgbClr val="FFFFFF"/>
                          </a:solidFill>
                          <a:ln w="9525">
                            <a:noFill/>
                            <a:miter lim="800000"/>
                            <a:headEnd/>
                            <a:tailEnd/>
                          </a:ln>
                        </wps:spPr>
                        <wps:txbx>
                          <w:txbxContent>
                            <w:p w:rsidR="009A5582" w:rsidRPr="00F04A9F" w:rsidRDefault="009A5582">
                              <w:pPr>
                                <w:rPr>
                                  <w:sz w:val="16"/>
                                  <w:szCs w:val="16"/>
                                </w:rPr>
                              </w:pPr>
                              <w:r w:rsidRPr="00F04A9F">
                                <w:rPr>
                                  <w:sz w:val="16"/>
                                  <w:szCs w:val="16"/>
                                </w:rPr>
                                <w:t>Lamprey Healthcare – Source: angieslist.com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 o:spid="_x0000_s1031" style="position:absolute;left:0;text-align:left;margin-left:227.15pt;margin-top:5.7pt;width:276.2pt;height:234.45pt;z-index:251683840;mso-width-relative:margin;mso-height-relative:margin" coordsize="35095,29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alt="http://content.angieslist.com/2014/11/6/46fec59b-e919-45cb-a739-1873f0ae5eb5.JPG" style="position:absolute;width:35095;height:26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inLDAAAA2gAAAA8AAABkcnMvZG93bnJldi54bWxEj1FLw0AQhN8L/odjBd/aS5RKib0WFVp8&#10;KAHT/oAltybB3F64W5u0v94rCD4OM/MNs95OrldnCrHzbCBfZKCIa287bgycjrv5ClQUZIu9ZzJw&#10;oQjbzd1sjYX1I3/SuZJGJQjHAg20IkOhdaxbchgXfiBO3pcPDiXJ0GgbcExw1+vHLHvWDjtOCy0O&#10;9N5S/V39OAPN/ql04fC2zCW7yjUvq3I8Xox5uJ9eX0AJTfIf/mt/WANLuF1JN0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eKcsMAAADaAAAADwAAAAAAAAAAAAAAAACf&#10;AgAAZHJzL2Rvd25yZXYueG1sUEsFBgAAAAAEAAQA9wAAAI8DAAAAAA==&#10;">
                  <v:imagedata r:id="rId32" o:title="46fec59b-e919-45cb-a739-1873f0ae5eb5"/>
                  <v:path arrowok="t"/>
                </v:shape>
                <v:shape id="_x0000_s1033" type="#_x0000_t202" style="position:absolute;left:8990;top:26066;width:25718;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9A5582" w:rsidRPr="00F04A9F" w:rsidRDefault="009A5582">
                        <w:pPr>
                          <w:rPr>
                            <w:sz w:val="16"/>
                            <w:szCs w:val="16"/>
                          </w:rPr>
                        </w:pPr>
                        <w:r w:rsidRPr="00F04A9F">
                          <w:rPr>
                            <w:sz w:val="16"/>
                            <w:szCs w:val="16"/>
                          </w:rPr>
                          <w:t>Lamprey Healthcare – Source: angieslist.com</w:t>
                        </w:r>
                      </w:p>
                    </w:txbxContent>
                  </v:textbox>
                </v:shape>
                <w10:wrap type="square"/>
              </v:group>
            </w:pict>
          </mc:Fallback>
        </mc:AlternateContent>
      </w:r>
      <w:r w:rsidR="009E47C7" w:rsidRPr="009128E4">
        <w:t>Major Employers</w:t>
      </w:r>
      <w:bookmarkEnd w:id="16"/>
    </w:p>
    <w:p w:rsidR="00F275E6" w:rsidRPr="0016783C" w:rsidRDefault="0096219A" w:rsidP="009128E4">
      <w:pPr>
        <w:ind w:left="-720" w:right="-720"/>
        <w:rPr>
          <w:color w:val="FF0000"/>
        </w:rPr>
      </w:pPr>
      <w:r w:rsidRPr="0096219A">
        <w:t>Newmarket</w:t>
      </w:r>
      <w:r w:rsidR="00F275E6" w:rsidRPr="0096219A">
        <w:t xml:space="preserve"> is home to </w:t>
      </w:r>
      <w:r w:rsidRPr="0096219A">
        <w:t xml:space="preserve">few large employers both </w:t>
      </w:r>
      <w:r w:rsidRPr="00D7480F">
        <w:t xml:space="preserve">in the context of </w:t>
      </w:r>
      <w:r w:rsidR="00D56819">
        <w:t xml:space="preserve">the </w:t>
      </w:r>
      <w:r w:rsidRPr="00D7480F">
        <w:t>region and state</w:t>
      </w:r>
      <w:r w:rsidR="00F275E6" w:rsidRPr="00D7480F">
        <w:t xml:space="preserve">. </w:t>
      </w:r>
      <w:r w:rsidR="00D7480F" w:rsidRPr="00D7480F">
        <w:t>Education and healthcare</w:t>
      </w:r>
      <w:r w:rsidR="00F275E6" w:rsidRPr="00D7480F">
        <w:t xml:space="preserve"> </w:t>
      </w:r>
      <w:r w:rsidR="00D7480F" w:rsidRPr="00D7480F">
        <w:t>service</w:t>
      </w:r>
      <w:r w:rsidR="00F275E6" w:rsidRPr="00D7480F">
        <w:t xml:space="preserve"> industries dominate the employment </w:t>
      </w:r>
      <w:r w:rsidR="00D56819">
        <w:t>sectors</w:t>
      </w:r>
      <w:r w:rsidR="00F275E6" w:rsidRPr="00D7480F">
        <w:t xml:space="preserve"> within </w:t>
      </w:r>
      <w:r w:rsidR="00D7480F" w:rsidRPr="00D7480F">
        <w:t xml:space="preserve">the Town of Newmarket. </w:t>
      </w:r>
      <w:r w:rsidR="00375A04">
        <w:t>The Town</w:t>
      </w:r>
      <w:r w:rsidR="00D7480F" w:rsidRPr="00D7480F">
        <w:t>’s two largest employers are the Newmarket School District and Lamprey Healthcare.</w:t>
      </w:r>
      <w:r w:rsidR="00F275E6" w:rsidRPr="00D7480F">
        <w:t xml:space="preserve"> </w:t>
      </w:r>
      <w:r w:rsidR="00D7480F" w:rsidRPr="00D7480F">
        <w:t>The majority of Newmarket’s residents work in adjacent communities or in employment centers in the greater region. For more information, please see the Commute Patterns section below.</w:t>
      </w:r>
      <w:r w:rsidR="00F04A9F" w:rsidRPr="00F04A9F">
        <w:rPr>
          <w:noProof/>
        </w:rPr>
        <w:t xml:space="preserve"> </w:t>
      </w:r>
    </w:p>
    <w:p w:rsidR="00306920" w:rsidRPr="00546909" w:rsidRDefault="00306920" w:rsidP="009128E4">
      <w:pPr>
        <w:ind w:left="-720" w:right="-720"/>
        <w:rPr>
          <w:color w:val="FF0000"/>
          <w:sz w:val="18"/>
          <w:szCs w:val="18"/>
        </w:rPr>
      </w:pPr>
    </w:p>
    <w:tbl>
      <w:tblPr>
        <w:tblStyle w:val="ColorfulList"/>
        <w:tblpPr w:leftFromText="180" w:rightFromText="180" w:vertAnchor="text" w:horzAnchor="margin" w:tblpY="877"/>
        <w:tblW w:w="10008" w:type="dxa"/>
        <w:tblLayout w:type="fixed"/>
        <w:tblLook w:val="04A0" w:firstRow="1" w:lastRow="0" w:firstColumn="1" w:lastColumn="0" w:noHBand="0" w:noVBand="1"/>
      </w:tblPr>
      <w:tblGrid>
        <w:gridCol w:w="1998"/>
        <w:gridCol w:w="1890"/>
        <w:gridCol w:w="1799"/>
        <w:gridCol w:w="2071"/>
        <w:gridCol w:w="2250"/>
      </w:tblGrid>
      <w:tr w:rsidR="008C5C53" w:rsidRPr="00546909" w:rsidTr="00192C96">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008" w:type="dxa"/>
            <w:gridSpan w:val="5"/>
            <w:vAlign w:val="center"/>
          </w:tcPr>
          <w:p w:rsidR="008C5C53" w:rsidRPr="00264558" w:rsidRDefault="008C5C53" w:rsidP="001B6562">
            <w:pPr>
              <w:spacing w:line="300" w:lineRule="atLeast"/>
              <w:jc w:val="left"/>
              <w:rPr>
                <w:rFonts w:eastAsia="Times New Roman" w:cs="Times New Roman"/>
                <w:b w:val="0"/>
                <w:bCs w:val="0"/>
                <w:color w:val="FFFFFF"/>
                <w:sz w:val="28"/>
                <w:szCs w:val="28"/>
              </w:rPr>
            </w:pPr>
            <w:r w:rsidRPr="00264558">
              <w:rPr>
                <w:rFonts w:eastAsia="Times New Roman" w:cs="Times New Roman"/>
                <w:b w:val="0"/>
                <w:bCs w:val="0"/>
                <w:color w:val="FFFFFF"/>
                <w:sz w:val="28"/>
                <w:szCs w:val="28"/>
              </w:rPr>
              <w:t xml:space="preserve">Table </w:t>
            </w:r>
            <w:r w:rsidR="001B6562">
              <w:rPr>
                <w:rFonts w:eastAsia="Times New Roman" w:cs="Times New Roman"/>
                <w:b w:val="0"/>
                <w:bCs w:val="0"/>
                <w:color w:val="FFFFFF"/>
                <w:sz w:val="28"/>
                <w:szCs w:val="28"/>
              </w:rPr>
              <w:t>4</w:t>
            </w:r>
            <w:r w:rsidRPr="00264558">
              <w:rPr>
                <w:rFonts w:eastAsia="Times New Roman" w:cs="Times New Roman"/>
                <w:b w:val="0"/>
                <w:bCs w:val="0"/>
                <w:color w:val="FFFFFF"/>
                <w:sz w:val="28"/>
                <w:szCs w:val="28"/>
              </w:rPr>
              <w:t>: Major Newmarket Employers</w:t>
            </w:r>
          </w:p>
        </w:tc>
      </w:tr>
      <w:tr w:rsidR="008C5C53" w:rsidRPr="00546909" w:rsidTr="0019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hideMark/>
          </w:tcPr>
          <w:p w:rsidR="008C5C53" w:rsidRPr="00546909" w:rsidRDefault="008C5C53" w:rsidP="008C5C53">
            <w:pPr>
              <w:rPr>
                <w:sz w:val="18"/>
                <w:szCs w:val="18"/>
              </w:rPr>
            </w:pPr>
            <w:r w:rsidRPr="00546909">
              <w:rPr>
                <w:sz w:val="18"/>
                <w:szCs w:val="18"/>
              </w:rPr>
              <w:t>Business Name</w:t>
            </w:r>
          </w:p>
        </w:tc>
        <w:tc>
          <w:tcPr>
            <w:tcW w:w="3689" w:type="dxa"/>
            <w:gridSpan w:val="2"/>
            <w:hideMark/>
          </w:tcPr>
          <w:p w:rsidR="008C5C53" w:rsidRPr="00546909" w:rsidRDefault="008C5C53" w:rsidP="00192C96">
            <w:pPr>
              <w:ind w:left="1872"/>
              <w:cnfStyle w:val="000000100000" w:firstRow="0" w:lastRow="0" w:firstColumn="0" w:lastColumn="0" w:oddVBand="0" w:evenVBand="0" w:oddHBand="1" w:evenHBand="0" w:firstRowFirstColumn="0" w:firstRowLastColumn="0" w:lastRowFirstColumn="0" w:lastRowLastColumn="0"/>
              <w:rPr>
                <w:b/>
                <w:bCs/>
                <w:sz w:val="18"/>
                <w:szCs w:val="18"/>
              </w:rPr>
            </w:pPr>
            <w:r w:rsidRPr="00546909">
              <w:rPr>
                <w:b/>
                <w:bCs/>
                <w:sz w:val="18"/>
                <w:szCs w:val="18"/>
              </w:rPr>
              <w:t>Type</w:t>
            </w:r>
          </w:p>
        </w:tc>
        <w:tc>
          <w:tcPr>
            <w:tcW w:w="4321" w:type="dxa"/>
            <w:gridSpan w:val="2"/>
            <w:hideMark/>
          </w:tcPr>
          <w:p w:rsidR="008C5C53" w:rsidRPr="00546909" w:rsidRDefault="008C5C53" w:rsidP="00192C96">
            <w:pPr>
              <w:ind w:left="2053"/>
              <w:cnfStyle w:val="000000100000" w:firstRow="0" w:lastRow="0" w:firstColumn="0" w:lastColumn="0" w:oddVBand="0" w:evenVBand="0" w:oddHBand="1" w:evenHBand="0" w:firstRowFirstColumn="0" w:firstRowLastColumn="0" w:lastRowFirstColumn="0" w:lastRowLastColumn="0"/>
              <w:rPr>
                <w:b/>
                <w:bCs/>
                <w:sz w:val="18"/>
                <w:szCs w:val="18"/>
              </w:rPr>
            </w:pPr>
            <w:r w:rsidRPr="00546909">
              <w:rPr>
                <w:b/>
                <w:bCs/>
                <w:sz w:val="18"/>
                <w:szCs w:val="18"/>
              </w:rPr>
              <w:t>Number of Employees</w:t>
            </w:r>
          </w:p>
        </w:tc>
      </w:tr>
      <w:tr w:rsidR="008C5C53" w:rsidRPr="00546909" w:rsidTr="00192C96">
        <w:trPr>
          <w:trHeight w:val="288"/>
        </w:trPr>
        <w:tc>
          <w:tcPr>
            <w:cnfStyle w:val="001000000000" w:firstRow="0" w:lastRow="0" w:firstColumn="1" w:lastColumn="0" w:oddVBand="0" w:evenVBand="0" w:oddHBand="0" w:evenHBand="0" w:firstRowFirstColumn="0" w:firstRowLastColumn="0" w:lastRowFirstColumn="0" w:lastRowLastColumn="0"/>
            <w:tcW w:w="3888" w:type="dxa"/>
            <w:gridSpan w:val="2"/>
            <w:vAlign w:val="center"/>
            <w:hideMark/>
          </w:tcPr>
          <w:p w:rsidR="008C5C53" w:rsidRPr="00264558" w:rsidRDefault="008C5C53" w:rsidP="00D56819">
            <w:pPr>
              <w:jc w:val="left"/>
              <w:rPr>
                <w:b w:val="0"/>
                <w:color w:val="000000"/>
              </w:rPr>
            </w:pPr>
            <w:r w:rsidRPr="00264558">
              <w:rPr>
                <w:b w:val="0"/>
                <w:color w:val="000000"/>
              </w:rPr>
              <w:t>SAU 31</w:t>
            </w:r>
          </w:p>
        </w:tc>
        <w:tc>
          <w:tcPr>
            <w:tcW w:w="3870" w:type="dxa"/>
            <w:gridSpan w:val="2"/>
            <w:vAlign w:val="center"/>
            <w:hideMark/>
          </w:tcPr>
          <w:p w:rsidR="008C5C53" w:rsidRPr="00264558" w:rsidRDefault="008C5C53" w:rsidP="00D56819">
            <w:pPr>
              <w:jc w:val="left"/>
              <w:cnfStyle w:val="000000000000" w:firstRow="0" w:lastRow="0" w:firstColumn="0" w:lastColumn="0" w:oddVBand="0" w:evenVBand="0" w:oddHBand="0" w:evenHBand="0" w:firstRowFirstColumn="0" w:firstRowLastColumn="0" w:lastRowFirstColumn="0" w:lastRowLastColumn="0"/>
              <w:rPr>
                <w:bCs/>
                <w:color w:val="000000"/>
              </w:rPr>
            </w:pPr>
            <w:r w:rsidRPr="00264558">
              <w:rPr>
                <w:bCs/>
                <w:color w:val="000000"/>
              </w:rPr>
              <w:t>School district</w:t>
            </w:r>
          </w:p>
        </w:tc>
        <w:tc>
          <w:tcPr>
            <w:tcW w:w="2250" w:type="dxa"/>
            <w:vAlign w:val="center"/>
            <w:hideMark/>
          </w:tcPr>
          <w:p w:rsidR="008C5C53" w:rsidRPr="00264558" w:rsidRDefault="008C5C53" w:rsidP="00D56819">
            <w:pPr>
              <w:jc w:val="left"/>
              <w:cnfStyle w:val="000000000000" w:firstRow="0" w:lastRow="0" w:firstColumn="0" w:lastColumn="0" w:oddVBand="0" w:evenVBand="0" w:oddHBand="0" w:evenHBand="0" w:firstRowFirstColumn="0" w:firstRowLastColumn="0" w:lastRowFirstColumn="0" w:lastRowLastColumn="0"/>
              <w:rPr>
                <w:bCs/>
                <w:color w:val="000000"/>
              </w:rPr>
            </w:pPr>
            <w:r w:rsidRPr="00264558">
              <w:rPr>
                <w:bCs/>
                <w:color w:val="000000"/>
              </w:rPr>
              <w:t>146</w:t>
            </w:r>
          </w:p>
        </w:tc>
      </w:tr>
      <w:tr w:rsidR="008C5C53" w:rsidRPr="00546909" w:rsidTr="00192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88" w:type="dxa"/>
            <w:gridSpan w:val="2"/>
            <w:vAlign w:val="center"/>
            <w:hideMark/>
          </w:tcPr>
          <w:p w:rsidR="008C5C53" w:rsidRPr="00264558" w:rsidRDefault="008C5C53" w:rsidP="00D56819">
            <w:pPr>
              <w:jc w:val="left"/>
              <w:rPr>
                <w:b w:val="0"/>
                <w:color w:val="000000"/>
              </w:rPr>
            </w:pPr>
            <w:r w:rsidRPr="00264558">
              <w:rPr>
                <w:b w:val="0"/>
                <w:color w:val="000000"/>
              </w:rPr>
              <w:t>Lamprey Health Care</w:t>
            </w:r>
          </w:p>
        </w:tc>
        <w:tc>
          <w:tcPr>
            <w:tcW w:w="3870" w:type="dxa"/>
            <w:gridSpan w:val="2"/>
            <w:vAlign w:val="center"/>
            <w:hideMark/>
          </w:tcPr>
          <w:p w:rsidR="008C5C53" w:rsidRPr="00264558" w:rsidRDefault="008C5C53" w:rsidP="00D56819">
            <w:pPr>
              <w:jc w:val="left"/>
              <w:cnfStyle w:val="000000100000" w:firstRow="0" w:lastRow="0" w:firstColumn="0" w:lastColumn="0" w:oddVBand="0" w:evenVBand="0" w:oddHBand="1" w:evenHBand="0" w:firstRowFirstColumn="0" w:firstRowLastColumn="0" w:lastRowFirstColumn="0" w:lastRowLastColumn="0"/>
              <w:rPr>
                <w:bCs/>
                <w:color w:val="000000"/>
              </w:rPr>
            </w:pPr>
            <w:r w:rsidRPr="00264558">
              <w:rPr>
                <w:bCs/>
                <w:color w:val="000000"/>
              </w:rPr>
              <w:t>Medical services &amp; programs</w:t>
            </w:r>
          </w:p>
        </w:tc>
        <w:tc>
          <w:tcPr>
            <w:tcW w:w="2250" w:type="dxa"/>
            <w:vAlign w:val="center"/>
            <w:hideMark/>
          </w:tcPr>
          <w:p w:rsidR="008C5C53" w:rsidRPr="00264558" w:rsidRDefault="008C5C53" w:rsidP="00D56819">
            <w:pPr>
              <w:jc w:val="left"/>
              <w:cnfStyle w:val="000000100000" w:firstRow="0" w:lastRow="0" w:firstColumn="0" w:lastColumn="0" w:oddVBand="0" w:evenVBand="0" w:oddHBand="1" w:evenHBand="0" w:firstRowFirstColumn="0" w:firstRowLastColumn="0" w:lastRowFirstColumn="0" w:lastRowLastColumn="0"/>
              <w:rPr>
                <w:bCs/>
                <w:color w:val="000000"/>
              </w:rPr>
            </w:pPr>
            <w:r w:rsidRPr="00264558">
              <w:rPr>
                <w:bCs/>
                <w:color w:val="000000"/>
              </w:rPr>
              <w:t>67</w:t>
            </w:r>
          </w:p>
        </w:tc>
      </w:tr>
      <w:tr w:rsidR="008C5C53" w:rsidRPr="00546909" w:rsidTr="00192C96">
        <w:trPr>
          <w:trHeight w:val="288"/>
        </w:trPr>
        <w:tc>
          <w:tcPr>
            <w:cnfStyle w:val="001000000000" w:firstRow="0" w:lastRow="0" w:firstColumn="1" w:lastColumn="0" w:oddVBand="0" w:evenVBand="0" w:oddHBand="0" w:evenHBand="0" w:firstRowFirstColumn="0" w:firstRowLastColumn="0" w:lastRowFirstColumn="0" w:lastRowLastColumn="0"/>
            <w:tcW w:w="3888" w:type="dxa"/>
            <w:gridSpan w:val="2"/>
            <w:vAlign w:val="center"/>
            <w:hideMark/>
          </w:tcPr>
          <w:p w:rsidR="008C5C53" w:rsidRPr="00264558" w:rsidRDefault="008C5C53" w:rsidP="00D56819">
            <w:pPr>
              <w:jc w:val="left"/>
              <w:rPr>
                <w:b w:val="0"/>
                <w:color w:val="000000"/>
              </w:rPr>
            </w:pPr>
            <w:r w:rsidRPr="00264558">
              <w:rPr>
                <w:b w:val="0"/>
                <w:color w:val="000000"/>
              </w:rPr>
              <w:t>Town of Newmarket</w:t>
            </w:r>
          </w:p>
        </w:tc>
        <w:tc>
          <w:tcPr>
            <w:tcW w:w="3870" w:type="dxa"/>
            <w:gridSpan w:val="2"/>
            <w:vAlign w:val="center"/>
            <w:hideMark/>
          </w:tcPr>
          <w:p w:rsidR="008C5C53" w:rsidRPr="00264558" w:rsidRDefault="008C5C53" w:rsidP="00D56819">
            <w:pPr>
              <w:jc w:val="left"/>
              <w:cnfStyle w:val="000000000000" w:firstRow="0" w:lastRow="0" w:firstColumn="0" w:lastColumn="0" w:oddVBand="0" w:evenVBand="0" w:oddHBand="0" w:evenHBand="0" w:firstRowFirstColumn="0" w:firstRowLastColumn="0" w:lastRowFirstColumn="0" w:lastRowLastColumn="0"/>
              <w:rPr>
                <w:bCs/>
                <w:color w:val="000000"/>
              </w:rPr>
            </w:pPr>
            <w:r w:rsidRPr="00264558">
              <w:rPr>
                <w:bCs/>
                <w:color w:val="000000"/>
              </w:rPr>
              <w:t>Municipal services</w:t>
            </w:r>
          </w:p>
        </w:tc>
        <w:tc>
          <w:tcPr>
            <w:tcW w:w="2250" w:type="dxa"/>
            <w:vAlign w:val="center"/>
            <w:hideMark/>
          </w:tcPr>
          <w:p w:rsidR="008C5C53" w:rsidRPr="00264558" w:rsidRDefault="008C5C53" w:rsidP="00D56819">
            <w:pPr>
              <w:jc w:val="left"/>
              <w:cnfStyle w:val="000000000000" w:firstRow="0" w:lastRow="0" w:firstColumn="0" w:lastColumn="0" w:oddVBand="0" w:evenVBand="0" w:oddHBand="0" w:evenHBand="0" w:firstRowFirstColumn="0" w:firstRowLastColumn="0" w:lastRowFirstColumn="0" w:lastRowLastColumn="0"/>
              <w:rPr>
                <w:bCs/>
                <w:color w:val="000000"/>
              </w:rPr>
            </w:pPr>
            <w:r w:rsidRPr="00264558">
              <w:rPr>
                <w:bCs/>
                <w:color w:val="000000"/>
              </w:rPr>
              <w:t>55</w:t>
            </w:r>
          </w:p>
        </w:tc>
      </w:tr>
      <w:tr w:rsidR="00D56819" w:rsidRPr="00546909" w:rsidTr="00192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88" w:type="dxa"/>
            <w:gridSpan w:val="2"/>
            <w:vAlign w:val="center"/>
          </w:tcPr>
          <w:p w:rsidR="00D56819" w:rsidRPr="00264558" w:rsidRDefault="00192C96" w:rsidP="00D56819">
            <w:pPr>
              <w:jc w:val="left"/>
              <w:rPr>
                <w:b w:val="0"/>
                <w:color w:val="000000"/>
              </w:rPr>
            </w:pPr>
            <w:r w:rsidRPr="00192C96">
              <w:rPr>
                <w:b w:val="0"/>
                <w:color w:val="000000"/>
              </w:rPr>
              <w:t>Seacoast Sports Clubs - Great Bay</w:t>
            </w:r>
          </w:p>
        </w:tc>
        <w:tc>
          <w:tcPr>
            <w:tcW w:w="3870" w:type="dxa"/>
            <w:gridSpan w:val="2"/>
            <w:vAlign w:val="center"/>
          </w:tcPr>
          <w:p w:rsidR="00D56819" w:rsidRPr="00264558" w:rsidRDefault="00D56819" w:rsidP="00D56819">
            <w:pPr>
              <w:jc w:val="left"/>
              <w:cnfStyle w:val="000000100000" w:firstRow="0" w:lastRow="0" w:firstColumn="0" w:lastColumn="0" w:oddVBand="0" w:evenVBand="0" w:oddHBand="1" w:evenHBand="0" w:firstRowFirstColumn="0" w:firstRowLastColumn="0" w:lastRowFirstColumn="0" w:lastRowLastColumn="0"/>
              <w:rPr>
                <w:bCs/>
                <w:color w:val="000000"/>
              </w:rPr>
            </w:pPr>
            <w:r w:rsidRPr="00264558">
              <w:rPr>
                <w:bCs/>
                <w:color w:val="000000"/>
              </w:rPr>
              <w:t>Physical education facility</w:t>
            </w:r>
          </w:p>
        </w:tc>
        <w:tc>
          <w:tcPr>
            <w:tcW w:w="2250" w:type="dxa"/>
            <w:vAlign w:val="center"/>
          </w:tcPr>
          <w:p w:rsidR="00D56819" w:rsidRPr="00264558" w:rsidRDefault="00D56819" w:rsidP="00D56819">
            <w:pPr>
              <w:jc w:val="left"/>
              <w:cnfStyle w:val="000000100000" w:firstRow="0" w:lastRow="0" w:firstColumn="0" w:lastColumn="0" w:oddVBand="0" w:evenVBand="0" w:oddHBand="1" w:evenHBand="0" w:firstRowFirstColumn="0" w:firstRowLastColumn="0" w:lastRowFirstColumn="0" w:lastRowLastColumn="0"/>
              <w:rPr>
                <w:bCs/>
                <w:color w:val="000000"/>
              </w:rPr>
            </w:pPr>
            <w:r w:rsidRPr="00264558">
              <w:rPr>
                <w:bCs/>
                <w:color w:val="000000"/>
              </w:rPr>
              <w:t>47</w:t>
            </w:r>
          </w:p>
        </w:tc>
      </w:tr>
      <w:tr w:rsidR="00D56819" w:rsidRPr="00546909" w:rsidTr="00192C96">
        <w:trPr>
          <w:trHeight w:val="288"/>
        </w:trPr>
        <w:tc>
          <w:tcPr>
            <w:cnfStyle w:val="001000000000" w:firstRow="0" w:lastRow="0" w:firstColumn="1" w:lastColumn="0" w:oddVBand="0" w:evenVBand="0" w:oddHBand="0" w:evenHBand="0" w:firstRowFirstColumn="0" w:firstRowLastColumn="0" w:lastRowFirstColumn="0" w:lastRowLastColumn="0"/>
            <w:tcW w:w="3888" w:type="dxa"/>
            <w:gridSpan w:val="2"/>
            <w:vAlign w:val="center"/>
          </w:tcPr>
          <w:p w:rsidR="00D56819" w:rsidRPr="00264558" w:rsidRDefault="00D56819" w:rsidP="00D56819">
            <w:pPr>
              <w:jc w:val="left"/>
              <w:rPr>
                <w:b w:val="0"/>
                <w:color w:val="000000"/>
              </w:rPr>
            </w:pPr>
            <w:proofErr w:type="spellStart"/>
            <w:r>
              <w:rPr>
                <w:b w:val="0"/>
                <w:color w:val="000000"/>
              </w:rPr>
              <w:t>Russound</w:t>
            </w:r>
            <w:proofErr w:type="spellEnd"/>
          </w:p>
        </w:tc>
        <w:tc>
          <w:tcPr>
            <w:tcW w:w="3870" w:type="dxa"/>
            <w:gridSpan w:val="2"/>
            <w:vAlign w:val="center"/>
          </w:tcPr>
          <w:p w:rsidR="00D56819" w:rsidRPr="00264558" w:rsidRDefault="00D56819" w:rsidP="00D56819">
            <w:pPr>
              <w:jc w:val="left"/>
              <w:cnfStyle w:val="000000000000" w:firstRow="0" w:lastRow="0" w:firstColumn="0" w:lastColumn="0" w:oddVBand="0" w:evenVBand="0" w:oddHBand="0" w:evenHBand="0" w:firstRowFirstColumn="0" w:firstRowLastColumn="0" w:lastRowFirstColumn="0" w:lastRowLastColumn="0"/>
              <w:rPr>
                <w:bCs/>
                <w:color w:val="000000"/>
              </w:rPr>
            </w:pPr>
            <w:r w:rsidRPr="00264558">
              <w:rPr>
                <w:bCs/>
                <w:color w:val="000000"/>
              </w:rPr>
              <w:t>Audio, video, &amp; multi-room systems</w:t>
            </w:r>
          </w:p>
        </w:tc>
        <w:tc>
          <w:tcPr>
            <w:tcW w:w="2250" w:type="dxa"/>
            <w:vAlign w:val="center"/>
          </w:tcPr>
          <w:p w:rsidR="00D56819" w:rsidRPr="00264558" w:rsidRDefault="00D56819" w:rsidP="00D56819">
            <w:pPr>
              <w:jc w:val="left"/>
              <w:cnfStyle w:val="000000000000" w:firstRow="0" w:lastRow="0" w:firstColumn="0" w:lastColumn="0" w:oddVBand="0" w:evenVBand="0" w:oddHBand="0" w:evenHBand="0" w:firstRowFirstColumn="0" w:firstRowLastColumn="0" w:lastRowFirstColumn="0" w:lastRowLastColumn="0"/>
              <w:rPr>
                <w:bCs/>
                <w:color w:val="000000"/>
              </w:rPr>
            </w:pPr>
            <w:r w:rsidRPr="00264558">
              <w:rPr>
                <w:bCs/>
                <w:color w:val="000000"/>
              </w:rPr>
              <w:t>16</w:t>
            </w:r>
          </w:p>
        </w:tc>
      </w:tr>
      <w:tr w:rsidR="00D56819" w:rsidRPr="00546909" w:rsidTr="0019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8" w:type="dxa"/>
            <w:gridSpan w:val="5"/>
            <w:shd w:val="clear" w:color="auto" w:fill="auto"/>
          </w:tcPr>
          <w:p w:rsidR="00D56819" w:rsidRPr="00264558" w:rsidRDefault="00D56819" w:rsidP="00D56819">
            <w:pPr>
              <w:jc w:val="right"/>
              <w:rPr>
                <w:b w:val="0"/>
                <w:color w:val="000000"/>
                <w:sz w:val="16"/>
                <w:szCs w:val="16"/>
              </w:rPr>
            </w:pPr>
            <w:r w:rsidRPr="00D56819">
              <w:rPr>
                <w:b w:val="0"/>
                <w:color w:val="000000"/>
                <w:sz w:val="16"/>
                <w:szCs w:val="16"/>
              </w:rPr>
              <w:t>Source: New Hamp</w:t>
            </w:r>
            <w:r>
              <w:rPr>
                <w:b w:val="0"/>
                <w:color w:val="000000"/>
                <w:sz w:val="16"/>
                <w:szCs w:val="16"/>
              </w:rPr>
              <w:t>shire Employment Security(NHES)</w:t>
            </w:r>
          </w:p>
        </w:tc>
      </w:tr>
    </w:tbl>
    <w:p w:rsidR="009D73C9" w:rsidRDefault="009D73C9" w:rsidP="008C5C53">
      <w:pPr>
        <w:pStyle w:val="Heading2"/>
      </w:pPr>
    </w:p>
    <w:p w:rsidR="008C5C53" w:rsidRPr="008C5C53" w:rsidRDefault="008C5C53" w:rsidP="008C5C53">
      <w:pPr>
        <w:pStyle w:val="Heading2"/>
        <w:rPr>
          <w:sz w:val="4"/>
          <w:szCs w:val="4"/>
        </w:rPr>
      </w:pPr>
    </w:p>
    <w:p w:rsidR="00F275E6" w:rsidRPr="009128E4" w:rsidRDefault="00F275E6" w:rsidP="008C5C53">
      <w:pPr>
        <w:pStyle w:val="Heading2"/>
      </w:pPr>
      <w:bookmarkStart w:id="17" w:name="_Toc427316505"/>
      <w:r w:rsidRPr="009128E4">
        <w:t>Commute Patterns</w:t>
      </w:r>
      <w:bookmarkEnd w:id="17"/>
    </w:p>
    <w:p w:rsidR="00F275E6" w:rsidRPr="0016783C" w:rsidRDefault="00F275E6" w:rsidP="009128E4">
      <w:pPr>
        <w:ind w:left="-720" w:right="-720"/>
      </w:pPr>
      <w:proofErr w:type="gramStart"/>
      <w:r w:rsidRPr="0016783C">
        <w:t>2011</w:t>
      </w:r>
      <w:proofErr w:type="gramEnd"/>
      <w:r w:rsidRPr="0016783C">
        <w:t xml:space="preserve"> American Community Survey</w:t>
      </w:r>
      <w:r w:rsidR="009709F2">
        <w:t xml:space="preserve"> (ACS)</w:t>
      </w:r>
      <w:r w:rsidRPr="0016783C">
        <w:t xml:space="preserve"> estimates suggest that of individuals with primary employment within Newmarket, 80% commute from outside of the </w:t>
      </w:r>
      <w:r w:rsidR="00D56819">
        <w:t>t</w:t>
      </w:r>
      <w:r w:rsidRPr="0016783C">
        <w:t>own. The remaining 20% both live and work within Newmarket.</w:t>
      </w:r>
    </w:p>
    <w:p w:rsidR="00964CE7" w:rsidRPr="0016783C" w:rsidRDefault="00F275E6" w:rsidP="009128E4">
      <w:pPr>
        <w:ind w:left="-720" w:right="-720"/>
      </w:pPr>
      <w:r w:rsidRPr="0016783C">
        <w:t>ACS estimates indicate that 92.4% of Newmarket residents commute outside of the c</w:t>
      </w:r>
      <w:r w:rsidR="00964CE7" w:rsidRPr="0016783C">
        <w:t>ommunity to primary employment, many to one of the primary major employers listed below.</w:t>
      </w:r>
    </w:p>
    <w:p w:rsidR="009E47C7" w:rsidRPr="00546909" w:rsidRDefault="009E47C7" w:rsidP="00F275E6">
      <w:pPr>
        <w:pStyle w:val="Heading3"/>
        <w:rPr>
          <w:sz w:val="18"/>
          <w:szCs w:val="18"/>
        </w:rPr>
      </w:pPr>
      <w:r w:rsidRPr="00546909">
        <w:rPr>
          <w:sz w:val="18"/>
          <w:szCs w:val="18"/>
        </w:rPr>
        <w:t>Major Regional Employers</w:t>
      </w:r>
    </w:p>
    <w:p w:rsidR="00546909" w:rsidRPr="00546909" w:rsidRDefault="00546909" w:rsidP="000366F3">
      <w:pPr>
        <w:framePr w:w="10609" w:wrap="auto" w:hAnchor="text" w:x="1620"/>
        <w:spacing w:after="0"/>
        <w:rPr>
          <w:sz w:val="18"/>
          <w:szCs w:val="18"/>
        </w:rPr>
        <w:sectPr w:rsidR="00546909" w:rsidRPr="00546909" w:rsidSect="007620B0">
          <w:type w:val="continuous"/>
          <w:pgSz w:w="12240" w:h="15840"/>
          <w:pgMar w:top="866" w:right="1440" w:bottom="1440" w:left="1440" w:header="180" w:footer="720" w:gutter="0"/>
          <w:cols w:space="720"/>
          <w:docGrid w:linePitch="360"/>
        </w:sectPr>
      </w:pPr>
    </w:p>
    <w:p w:rsidR="001E2CD1" w:rsidRPr="00546909" w:rsidRDefault="00546909" w:rsidP="00546909">
      <w:pPr>
        <w:pStyle w:val="ListParagraph"/>
        <w:numPr>
          <w:ilvl w:val="0"/>
          <w:numId w:val="25"/>
        </w:numPr>
        <w:spacing w:after="0"/>
        <w:ind w:left="360" w:right="-270"/>
        <w:rPr>
          <w:sz w:val="18"/>
          <w:szCs w:val="18"/>
        </w:rPr>
      </w:pPr>
      <w:r w:rsidRPr="00D2310A">
        <w:rPr>
          <w:i/>
          <w:sz w:val="18"/>
          <w:szCs w:val="18"/>
        </w:rPr>
        <w:lastRenderedPageBreak/>
        <w:t>City of Portsmouth</w:t>
      </w:r>
      <w:r w:rsidR="00D2310A">
        <w:rPr>
          <w:i/>
          <w:sz w:val="18"/>
          <w:szCs w:val="18"/>
        </w:rPr>
        <w:t xml:space="preserve"> </w:t>
      </w:r>
      <w:r w:rsidRPr="00546909">
        <w:rPr>
          <w:sz w:val="18"/>
          <w:szCs w:val="18"/>
        </w:rPr>
        <w:t>-</w:t>
      </w:r>
      <w:r w:rsidR="00D2310A">
        <w:rPr>
          <w:sz w:val="18"/>
          <w:szCs w:val="18"/>
        </w:rPr>
        <w:t xml:space="preserve"> </w:t>
      </w:r>
      <w:r w:rsidRPr="00546909">
        <w:rPr>
          <w:sz w:val="18"/>
          <w:szCs w:val="18"/>
        </w:rPr>
        <w:t xml:space="preserve">Portsmouth </w:t>
      </w:r>
      <w:r w:rsidR="001E2CD1" w:rsidRPr="00546909">
        <w:rPr>
          <w:sz w:val="18"/>
          <w:szCs w:val="18"/>
        </w:rPr>
        <w:t xml:space="preserve">1,542 </w:t>
      </w:r>
    </w:p>
    <w:p w:rsidR="001E2CD1" w:rsidRPr="00546909" w:rsidRDefault="00AA6922" w:rsidP="00546909">
      <w:pPr>
        <w:pStyle w:val="ListParagraph"/>
        <w:numPr>
          <w:ilvl w:val="0"/>
          <w:numId w:val="25"/>
        </w:numPr>
        <w:spacing w:after="0"/>
        <w:ind w:left="360" w:right="-270"/>
        <w:rPr>
          <w:sz w:val="18"/>
          <w:szCs w:val="18"/>
        </w:rPr>
      </w:pPr>
      <w:r w:rsidRPr="00D2310A">
        <w:rPr>
          <w:i/>
          <w:sz w:val="18"/>
          <w:szCs w:val="18"/>
        </w:rPr>
        <w:t>Insight Tech</w:t>
      </w:r>
      <w:r w:rsidR="00546909" w:rsidRPr="00D2310A">
        <w:rPr>
          <w:i/>
          <w:sz w:val="18"/>
          <w:szCs w:val="18"/>
        </w:rPr>
        <w:t>nology, Inc.-</w:t>
      </w:r>
      <w:r w:rsidR="00D2310A">
        <w:rPr>
          <w:i/>
          <w:sz w:val="18"/>
          <w:szCs w:val="18"/>
        </w:rPr>
        <w:t xml:space="preserve"> </w:t>
      </w:r>
      <w:r w:rsidR="001E2CD1" w:rsidRPr="00546909">
        <w:rPr>
          <w:sz w:val="18"/>
          <w:szCs w:val="18"/>
        </w:rPr>
        <w:t xml:space="preserve">Londonderry 1,300 </w:t>
      </w:r>
    </w:p>
    <w:p w:rsidR="001E2CD1" w:rsidRPr="00546909" w:rsidRDefault="001E2CD1" w:rsidP="00546909">
      <w:pPr>
        <w:pStyle w:val="ListParagraph"/>
        <w:numPr>
          <w:ilvl w:val="0"/>
          <w:numId w:val="25"/>
        </w:numPr>
        <w:spacing w:after="0"/>
        <w:ind w:left="360" w:right="-270"/>
        <w:rPr>
          <w:sz w:val="18"/>
          <w:szCs w:val="18"/>
        </w:rPr>
      </w:pPr>
      <w:r w:rsidRPr="00D2310A">
        <w:rPr>
          <w:i/>
          <w:sz w:val="18"/>
          <w:szCs w:val="18"/>
        </w:rPr>
        <w:t>Portsmouth Consular Center</w:t>
      </w:r>
      <w:r w:rsidR="00D2310A">
        <w:rPr>
          <w:i/>
          <w:sz w:val="18"/>
          <w:szCs w:val="18"/>
        </w:rPr>
        <w:t xml:space="preserve"> </w:t>
      </w:r>
      <w:r w:rsidR="00546909" w:rsidRPr="00D2310A">
        <w:rPr>
          <w:i/>
          <w:sz w:val="18"/>
          <w:szCs w:val="18"/>
        </w:rPr>
        <w:t>-</w:t>
      </w:r>
      <w:r w:rsidR="00D2310A">
        <w:rPr>
          <w:i/>
          <w:sz w:val="18"/>
          <w:szCs w:val="18"/>
        </w:rPr>
        <w:t xml:space="preserve"> </w:t>
      </w:r>
      <w:r w:rsidR="00546909" w:rsidRPr="00546909">
        <w:rPr>
          <w:sz w:val="18"/>
          <w:szCs w:val="18"/>
        </w:rPr>
        <w:t xml:space="preserve">Portsmouth </w:t>
      </w:r>
      <w:r w:rsidRPr="00546909">
        <w:rPr>
          <w:sz w:val="18"/>
          <w:szCs w:val="18"/>
        </w:rPr>
        <w:t xml:space="preserve">1,265 </w:t>
      </w:r>
    </w:p>
    <w:p w:rsidR="001E2CD1" w:rsidRPr="00546909" w:rsidRDefault="00964CE7" w:rsidP="00546909">
      <w:pPr>
        <w:pStyle w:val="ListParagraph"/>
        <w:numPr>
          <w:ilvl w:val="0"/>
          <w:numId w:val="25"/>
        </w:numPr>
        <w:spacing w:after="0"/>
        <w:ind w:left="360" w:right="-270"/>
        <w:rPr>
          <w:sz w:val="18"/>
          <w:szCs w:val="18"/>
        </w:rPr>
      </w:pPr>
      <w:r w:rsidRPr="00D2310A">
        <w:rPr>
          <w:i/>
          <w:sz w:val="18"/>
          <w:szCs w:val="18"/>
        </w:rPr>
        <w:t>Portsmouth Regional Hospital</w:t>
      </w:r>
      <w:r w:rsidR="00D2310A">
        <w:rPr>
          <w:i/>
          <w:sz w:val="18"/>
          <w:szCs w:val="18"/>
        </w:rPr>
        <w:t xml:space="preserve"> </w:t>
      </w:r>
      <w:r w:rsidRPr="00D2310A">
        <w:rPr>
          <w:i/>
          <w:sz w:val="18"/>
          <w:szCs w:val="18"/>
        </w:rPr>
        <w:t>-</w:t>
      </w:r>
      <w:r w:rsidR="00D2310A">
        <w:rPr>
          <w:i/>
          <w:sz w:val="18"/>
          <w:szCs w:val="18"/>
        </w:rPr>
        <w:t xml:space="preserve"> </w:t>
      </w:r>
      <w:r w:rsidR="001E2CD1" w:rsidRPr="00546909">
        <w:rPr>
          <w:sz w:val="18"/>
          <w:szCs w:val="18"/>
        </w:rPr>
        <w:t xml:space="preserve">Portsmouth 1,040 </w:t>
      </w:r>
    </w:p>
    <w:p w:rsidR="001E2CD1" w:rsidRPr="00546909" w:rsidRDefault="00546909" w:rsidP="00546909">
      <w:pPr>
        <w:pStyle w:val="ListParagraph"/>
        <w:numPr>
          <w:ilvl w:val="0"/>
          <w:numId w:val="25"/>
        </w:numPr>
        <w:spacing w:after="0"/>
        <w:ind w:left="360" w:right="-270"/>
        <w:rPr>
          <w:sz w:val="18"/>
          <w:szCs w:val="18"/>
        </w:rPr>
      </w:pPr>
      <w:r w:rsidRPr="00D2310A">
        <w:rPr>
          <w:i/>
          <w:sz w:val="18"/>
          <w:szCs w:val="18"/>
        </w:rPr>
        <w:t>Liberty Mutual Insurance</w:t>
      </w:r>
      <w:r w:rsidR="00D2310A">
        <w:rPr>
          <w:i/>
          <w:sz w:val="18"/>
          <w:szCs w:val="18"/>
        </w:rPr>
        <w:t xml:space="preserve"> </w:t>
      </w:r>
      <w:r w:rsidRPr="00D2310A">
        <w:rPr>
          <w:i/>
          <w:sz w:val="18"/>
          <w:szCs w:val="18"/>
        </w:rPr>
        <w:t>-</w:t>
      </w:r>
      <w:r w:rsidR="00D2310A">
        <w:rPr>
          <w:i/>
          <w:sz w:val="18"/>
          <w:szCs w:val="18"/>
        </w:rPr>
        <w:t xml:space="preserve"> </w:t>
      </w:r>
      <w:r w:rsidR="001E2CD1" w:rsidRPr="00546909">
        <w:rPr>
          <w:sz w:val="18"/>
          <w:szCs w:val="18"/>
        </w:rPr>
        <w:t xml:space="preserve">Portsmouth 1,013 </w:t>
      </w:r>
    </w:p>
    <w:p w:rsidR="001E2CD1" w:rsidRPr="00546909" w:rsidRDefault="00964CE7" w:rsidP="00546909">
      <w:pPr>
        <w:pStyle w:val="ListParagraph"/>
        <w:numPr>
          <w:ilvl w:val="0"/>
          <w:numId w:val="25"/>
        </w:numPr>
        <w:spacing w:after="0"/>
        <w:ind w:left="360" w:right="-270"/>
        <w:rPr>
          <w:sz w:val="18"/>
          <w:szCs w:val="18"/>
        </w:rPr>
      </w:pPr>
      <w:r w:rsidRPr="00D2310A">
        <w:rPr>
          <w:i/>
          <w:sz w:val="18"/>
          <w:szCs w:val="18"/>
        </w:rPr>
        <w:t>Next Era</w:t>
      </w:r>
      <w:r w:rsidR="00D2310A">
        <w:rPr>
          <w:i/>
          <w:sz w:val="18"/>
          <w:szCs w:val="18"/>
        </w:rPr>
        <w:t xml:space="preserve"> </w:t>
      </w:r>
      <w:r w:rsidRPr="00D2310A">
        <w:rPr>
          <w:i/>
          <w:sz w:val="18"/>
          <w:szCs w:val="18"/>
        </w:rPr>
        <w:t>-</w:t>
      </w:r>
      <w:r w:rsidR="00D2310A">
        <w:rPr>
          <w:i/>
          <w:sz w:val="18"/>
          <w:szCs w:val="18"/>
        </w:rPr>
        <w:t xml:space="preserve"> </w:t>
      </w:r>
      <w:r w:rsidR="001E2CD1" w:rsidRPr="00546909">
        <w:rPr>
          <w:sz w:val="18"/>
          <w:szCs w:val="18"/>
        </w:rPr>
        <w:t xml:space="preserve">Seabrook 1,000 </w:t>
      </w:r>
    </w:p>
    <w:p w:rsidR="001E2CD1" w:rsidRPr="00546909" w:rsidRDefault="00964CE7" w:rsidP="00546909">
      <w:pPr>
        <w:pStyle w:val="ListParagraph"/>
        <w:numPr>
          <w:ilvl w:val="0"/>
          <w:numId w:val="25"/>
        </w:numPr>
        <w:spacing w:after="0"/>
        <w:ind w:left="360" w:right="-270"/>
        <w:rPr>
          <w:sz w:val="18"/>
          <w:szCs w:val="18"/>
        </w:rPr>
      </w:pPr>
      <w:r w:rsidRPr="00D2310A">
        <w:rPr>
          <w:i/>
          <w:sz w:val="18"/>
          <w:szCs w:val="18"/>
        </w:rPr>
        <w:t>Exeter Hospital</w:t>
      </w:r>
      <w:r w:rsidR="00D2310A">
        <w:rPr>
          <w:i/>
          <w:sz w:val="18"/>
          <w:szCs w:val="18"/>
        </w:rPr>
        <w:t xml:space="preserve"> </w:t>
      </w:r>
      <w:r w:rsidRPr="00D2310A">
        <w:rPr>
          <w:i/>
          <w:sz w:val="18"/>
          <w:szCs w:val="18"/>
        </w:rPr>
        <w:t>-</w:t>
      </w:r>
      <w:r w:rsidR="00D2310A">
        <w:rPr>
          <w:i/>
          <w:sz w:val="18"/>
          <w:szCs w:val="18"/>
        </w:rPr>
        <w:t xml:space="preserve"> </w:t>
      </w:r>
      <w:r w:rsidR="001E2CD1" w:rsidRPr="00546909">
        <w:rPr>
          <w:sz w:val="18"/>
          <w:szCs w:val="18"/>
        </w:rPr>
        <w:t xml:space="preserve">Exeter 900 </w:t>
      </w:r>
    </w:p>
    <w:p w:rsidR="001E2CD1" w:rsidRPr="00546909" w:rsidRDefault="00964CE7" w:rsidP="00546909">
      <w:pPr>
        <w:pStyle w:val="ListParagraph"/>
        <w:numPr>
          <w:ilvl w:val="0"/>
          <w:numId w:val="25"/>
        </w:numPr>
        <w:spacing w:after="0"/>
        <w:ind w:left="360" w:right="-270"/>
        <w:rPr>
          <w:sz w:val="18"/>
          <w:szCs w:val="18"/>
        </w:rPr>
      </w:pPr>
      <w:proofErr w:type="spellStart"/>
      <w:r w:rsidRPr="00D2310A">
        <w:rPr>
          <w:i/>
          <w:sz w:val="18"/>
          <w:szCs w:val="18"/>
        </w:rPr>
        <w:t>Lonza</w:t>
      </w:r>
      <w:proofErr w:type="spellEnd"/>
      <w:r w:rsidRPr="00D2310A">
        <w:rPr>
          <w:i/>
          <w:sz w:val="18"/>
          <w:szCs w:val="18"/>
        </w:rPr>
        <w:t xml:space="preserve"> </w:t>
      </w:r>
      <w:proofErr w:type="spellStart"/>
      <w:r w:rsidRPr="00D2310A">
        <w:rPr>
          <w:i/>
          <w:sz w:val="18"/>
          <w:szCs w:val="18"/>
        </w:rPr>
        <w:t>Biologies</w:t>
      </w:r>
      <w:proofErr w:type="spellEnd"/>
      <w:r w:rsidRPr="00546909">
        <w:rPr>
          <w:sz w:val="18"/>
          <w:szCs w:val="18"/>
        </w:rPr>
        <w:t>-</w:t>
      </w:r>
      <w:r w:rsidR="001E2CD1" w:rsidRPr="00546909">
        <w:rPr>
          <w:sz w:val="18"/>
          <w:szCs w:val="18"/>
        </w:rPr>
        <w:t xml:space="preserve">Portsmouth 772 </w:t>
      </w:r>
    </w:p>
    <w:p w:rsidR="001E2CD1" w:rsidRPr="00546909" w:rsidRDefault="001E2CD1" w:rsidP="00D2310A">
      <w:pPr>
        <w:pStyle w:val="ListParagraph"/>
        <w:numPr>
          <w:ilvl w:val="0"/>
          <w:numId w:val="25"/>
        </w:numPr>
        <w:spacing w:after="0"/>
        <w:ind w:left="360" w:right="-360"/>
        <w:rPr>
          <w:sz w:val="18"/>
          <w:szCs w:val="18"/>
        </w:rPr>
      </w:pPr>
      <w:proofErr w:type="spellStart"/>
      <w:r w:rsidRPr="00D2310A">
        <w:rPr>
          <w:i/>
          <w:sz w:val="18"/>
          <w:szCs w:val="18"/>
        </w:rPr>
        <w:t>Timb</w:t>
      </w:r>
      <w:r w:rsidR="00546909" w:rsidRPr="00D2310A">
        <w:rPr>
          <w:i/>
          <w:sz w:val="18"/>
          <w:szCs w:val="18"/>
        </w:rPr>
        <w:t>erlane</w:t>
      </w:r>
      <w:proofErr w:type="spellEnd"/>
      <w:r w:rsidR="00546909" w:rsidRPr="00D2310A">
        <w:rPr>
          <w:i/>
          <w:sz w:val="18"/>
          <w:szCs w:val="18"/>
        </w:rPr>
        <w:t xml:space="preserve"> Regional School District</w:t>
      </w:r>
      <w:r w:rsidR="00D2310A">
        <w:rPr>
          <w:i/>
          <w:sz w:val="18"/>
          <w:szCs w:val="18"/>
        </w:rPr>
        <w:t xml:space="preserve"> </w:t>
      </w:r>
      <w:r w:rsidR="00546909" w:rsidRPr="00546909">
        <w:rPr>
          <w:sz w:val="18"/>
          <w:szCs w:val="18"/>
        </w:rPr>
        <w:t>-</w:t>
      </w:r>
      <w:r w:rsidR="00D2310A">
        <w:rPr>
          <w:sz w:val="18"/>
          <w:szCs w:val="18"/>
        </w:rPr>
        <w:t xml:space="preserve"> </w:t>
      </w:r>
      <w:r w:rsidRPr="00546909">
        <w:rPr>
          <w:sz w:val="18"/>
          <w:szCs w:val="18"/>
        </w:rPr>
        <w:t xml:space="preserve">Plaistow 740 </w:t>
      </w:r>
    </w:p>
    <w:p w:rsidR="001E2CD1" w:rsidRPr="00546909" w:rsidRDefault="00546909" w:rsidP="00546909">
      <w:pPr>
        <w:pStyle w:val="ListParagraph"/>
        <w:numPr>
          <w:ilvl w:val="0"/>
          <w:numId w:val="25"/>
        </w:numPr>
        <w:spacing w:after="0"/>
        <w:ind w:left="360" w:right="-360"/>
        <w:rPr>
          <w:sz w:val="18"/>
          <w:szCs w:val="18"/>
        </w:rPr>
      </w:pPr>
      <w:r w:rsidRPr="00D2310A">
        <w:rPr>
          <w:i/>
          <w:sz w:val="18"/>
          <w:szCs w:val="18"/>
        </w:rPr>
        <w:t>Rockingham County Home &amp; Jail</w:t>
      </w:r>
      <w:r w:rsidRPr="00546909">
        <w:rPr>
          <w:sz w:val="18"/>
          <w:szCs w:val="18"/>
        </w:rPr>
        <w:t>-</w:t>
      </w:r>
      <w:r w:rsidR="001E2CD1" w:rsidRPr="00546909">
        <w:rPr>
          <w:sz w:val="18"/>
          <w:szCs w:val="18"/>
        </w:rPr>
        <w:t xml:space="preserve">Brentwood 690 </w:t>
      </w:r>
    </w:p>
    <w:p w:rsidR="001E2CD1" w:rsidRPr="00546909" w:rsidRDefault="00546909" w:rsidP="00E85EF4">
      <w:pPr>
        <w:pStyle w:val="ListParagraph"/>
        <w:numPr>
          <w:ilvl w:val="0"/>
          <w:numId w:val="25"/>
        </w:numPr>
        <w:spacing w:after="0"/>
        <w:ind w:left="360"/>
        <w:rPr>
          <w:sz w:val="18"/>
          <w:szCs w:val="18"/>
        </w:rPr>
      </w:pPr>
      <w:r w:rsidRPr="00D2310A">
        <w:rPr>
          <w:i/>
          <w:sz w:val="18"/>
          <w:szCs w:val="18"/>
        </w:rPr>
        <w:lastRenderedPageBreak/>
        <w:t>Timberland</w:t>
      </w:r>
      <w:r w:rsidR="00D2310A">
        <w:rPr>
          <w:i/>
          <w:sz w:val="18"/>
          <w:szCs w:val="18"/>
        </w:rPr>
        <w:t xml:space="preserve"> </w:t>
      </w:r>
      <w:r w:rsidRPr="00546909">
        <w:rPr>
          <w:sz w:val="18"/>
          <w:szCs w:val="18"/>
        </w:rPr>
        <w:t>-</w:t>
      </w:r>
      <w:r w:rsidR="00D2310A">
        <w:rPr>
          <w:sz w:val="18"/>
          <w:szCs w:val="18"/>
        </w:rPr>
        <w:t xml:space="preserve"> </w:t>
      </w:r>
      <w:r w:rsidR="001E2CD1" w:rsidRPr="00546909">
        <w:rPr>
          <w:sz w:val="18"/>
          <w:szCs w:val="18"/>
        </w:rPr>
        <w:t xml:space="preserve">Stratham 650 </w:t>
      </w:r>
    </w:p>
    <w:p w:rsidR="001E2CD1" w:rsidRPr="00546909" w:rsidRDefault="00964CE7" w:rsidP="00E85EF4">
      <w:pPr>
        <w:pStyle w:val="ListParagraph"/>
        <w:numPr>
          <w:ilvl w:val="0"/>
          <w:numId w:val="25"/>
        </w:numPr>
        <w:spacing w:after="0"/>
        <w:ind w:left="360"/>
        <w:rPr>
          <w:sz w:val="18"/>
          <w:szCs w:val="18"/>
        </w:rPr>
      </w:pPr>
      <w:r w:rsidRPr="00D2310A">
        <w:rPr>
          <w:i/>
          <w:sz w:val="18"/>
          <w:szCs w:val="18"/>
        </w:rPr>
        <w:t>Derry Cooperative School System</w:t>
      </w:r>
      <w:r w:rsidR="00D2310A">
        <w:rPr>
          <w:i/>
          <w:sz w:val="18"/>
          <w:szCs w:val="18"/>
        </w:rPr>
        <w:t xml:space="preserve"> </w:t>
      </w:r>
      <w:r w:rsidRPr="00546909">
        <w:rPr>
          <w:sz w:val="18"/>
          <w:szCs w:val="18"/>
        </w:rPr>
        <w:t>-</w:t>
      </w:r>
      <w:r w:rsidR="00D2310A">
        <w:rPr>
          <w:sz w:val="18"/>
          <w:szCs w:val="18"/>
        </w:rPr>
        <w:t xml:space="preserve"> </w:t>
      </w:r>
      <w:r w:rsidR="001E2CD1" w:rsidRPr="00546909">
        <w:rPr>
          <w:sz w:val="18"/>
          <w:szCs w:val="18"/>
        </w:rPr>
        <w:t xml:space="preserve">Derry 600 </w:t>
      </w:r>
    </w:p>
    <w:p w:rsidR="001E2CD1" w:rsidRPr="00546909" w:rsidRDefault="00964CE7" w:rsidP="00E85EF4">
      <w:pPr>
        <w:pStyle w:val="ListParagraph"/>
        <w:numPr>
          <w:ilvl w:val="0"/>
          <w:numId w:val="25"/>
        </w:numPr>
        <w:spacing w:after="0"/>
        <w:ind w:left="360"/>
        <w:rPr>
          <w:sz w:val="18"/>
          <w:szCs w:val="18"/>
        </w:rPr>
      </w:pPr>
      <w:r w:rsidRPr="00D2310A">
        <w:rPr>
          <w:i/>
          <w:sz w:val="18"/>
          <w:szCs w:val="18"/>
        </w:rPr>
        <w:t>Fox Run Mall</w:t>
      </w:r>
      <w:r w:rsidR="00D2310A">
        <w:rPr>
          <w:i/>
          <w:sz w:val="18"/>
          <w:szCs w:val="18"/>
        </w:rPr>
        <w:t xml:space="preserve"> </w:t>
      </w:r>
      <w:r w:rsidRPr="00D2310A">
        <w:rPr>
          <w:i/>
          <w:sz w:val="18"/>
          <w:szCs w:val="18"/>
        </w:rPr>
        <w:t>-</w:t>
      </w:r>
      <w:r w:rsidR="00D2310A">
        <w:rPr>
          <w:i/>
          <w:sz w:val="18"/>
          <w:szCs w:val="18"/>
        </w:rPr>
        <w:t xml:space="preserve"> </w:t>
      </w:r>
      <w:r w:rsidR="001E2CD1" w:rsidRPr="00546909">
        <w:rPr>
          <w:sz w:val="18"/>
          <w:szCs w:val="18"/>
        </w:rPr>
        <w:t xml:space="preserve">Newington 600 </w:t>
      </w:r>
    </w:p>
    <w:p w:rsidR="001E2CD1" w:rsidRPr="00546909" w:rsidRDefault="00964CE7" w:rsidP="00E85EF4">
      <w:pPr>
        <w:pStyle w:val="ListParagraph"/>
        <w:numPr>
          <w:ilvl w:val="0"/>
          <w:numId w:val="25"/>
        </w:numPr>
        <w:spacing w:after="0"/>
        <w:ind w:left="360"/>
        <w:rPr>
          <w:sz w:val="18"/>
          <w:szCs w:val="18"/>
        </w:rPr>
      </w:pPr>
      <w:r w:rsidRPr="00D2310A">
        <w:rPr>
          <w:i/>
          <w:sz w:val="18"/>
          <w:szCs w:val="18"/>
        </w:rPr>
        <w:t>Wal-Mart</w:t>
      </w:r>
      <w:r w:rsidR="00D2310A">
        <w:rPr>
          <w:i/>
          <w:sz w:val="18"/>
          <w:szCs w:val="18"/>
        </w:rPr>
        <w:t xml:space="preserve"> </w:t>
      </w:r>
      <w:r w:rsidRPr="00D2310A">
        <w:rPr>
          <w:i/>
          <w:sz w:val="18"/>
          <w:szCs w:val="18"/>
        </w:rPr>
        <w:t>-</w:t>
      </w:r>
      <w:r w:rsidR="00D2310A">
        <w:rPr>
          <w:i/>
          <w:sz w:val="18"/>
          <w:szCs w:val="18"/>
        </w:rPr>
        <w:t xml:space="preserve"> </w:t>
      </w:r>
      <w:r w:rsidR="001E2CD1" w:rsidRPr="00546909">
        <w:rPr>
          <w:sz w:val="18"/>
          <w:szCs w:val="18"/>
        </w:rPr>
        <w:t xml:space="preserve">Raymond 600 </w:t>
      </w:r>
    </w:p>
    <w:p w:rsidR="001E2CD1" w:rsidRPr="00546909" w:rsidRDefault="001E2CD1" w:rsidP="00E85EF4">
      <w:pPr>
        <w:pStyle w:val="ListParagraph"/>
        <w:numPr>
          <w:ilvl w:val="0"/>
          <w:numId w:val="25"/>
        </w:numPr>
        <w:spacing w:after="0"/>
        <w:ind w:left="360"/>
        <w:rPr>
          <w:sz w:val="18"/>
          <w:szCs w:val="18"/>
        </w:rPr>
      </w:pPr>
      <w:r w:rsidRPr="00D2310A">
        <w:rPr>
          <w:i/>
          <w:sz w:val="18"/>
          <w:szCs w:val="18"/>
        </w:rPr>
        <w:t>Sig Sauer</w:t>
      </w:r>
      <w:r w:rsidR="00D2310A">
        <w:rPr>
          <w:i/>
          <w:sz w:val="18"/>
          <w:szCs w:val="18"/>
        </w:rPr>
        <w:t xml:space="preserve"> </w:t>
      </w:r>
      <w:r w:rsidR="00D2310A">
        <w:rPr>
          <w:sz w:val="18"/>
          <w:szCs w:val="18"/>
        </w:rPr>
        <w:t xml:space="preserve">- </w:t>
      </w:r>
      <w:r w:rsidRPr="00546909">
        <w:rPr>
          <w:sz w:val="18"/>
          <w:szCs w:val="18"/>
        </w:rPr>
        <w:t>Newington Manufacturing 600</w:t>
      </w:r>
    </w:p>
    <w:p w:rsidR="001E2CD1" w:rsidRPr="00546909" w:rsidRDefault="00964CE7" w:rsidP="00E85EF4">
      <w:pPr>
        <w:pStyle w:val="ListParagraph"/>
        <w:numPr>
          <w:ilvl w:val="0"/>
          <w:numId w:val="25"/>
        </w:numPr>
        <w:spacing w:after="0"/>
        <w:ind w:left="360"/>
        <w:rPr>
          <w:sz w:val="18"/>
          <w:szCs w:val="18"/>
        </w:rPr>
      </w:pPr>
      <w:r w:rsidRPr="00D2310A">
        <w:rPr>
          <w:i/>
          <w:sz w:val="18"/>
          <w:szCs w:val="18"/>
        </w:rPr>
        <w:t>University of New Hampshire</w:t>
      </w:r>
      <w:r w:rsidR="00D2310A">
        <w:rPr>
          <w:i/>
          <w:sz w:val="18"/>
          <w:szCs w:val="18"/>
        </w:rPr>
        <w:t xml:space="preserve"> </w:t>
      </w:r>
      <w:r w:rsidRPr="00546909">
        <w:rPr>
          <w:sz w:val="18"/>
          <w:szCs w:val="18"/>
        </w:rPr>
        <w:t>-</w:t>
      </w:r>
      <w:r w:rsidR="00D2310A">
        <w:rPr>
          <w:sz w:val="18"/>
          <w:szCs w:val="18"/>
        </w:rPr>
        <w:t xml:space="preserve"> </w:t>
      </w:r>
      <w:r w:rsidR="001E2CD1" w:rsidRPr="00546909">
        <w:rPr>
          <w:sz w:val="18"/>
          <w:szCs w:val="18"/>
        </w:rPr>
        <w:t xml:space="preserve">Durham 4,077 </w:t>
      </w:r>
    </w:p>
    <w:p w:rsidR="001E2CD1" w:rsidRPr="00546909" w:rsidRDefault="00D2310A" w:rsidP="00E85EF4">
      <w:pPr>
        <w:pStyle w:val="ListParagraph"/>
        <w:numPr>
          <w:ilvl w:val="0"/>
          <w:numId w:val="25"/>
        </w:numPr>
        <w:spacing w:after="0"/>
        <w:ind w:left="360"/>
        <w:rPr>
          <w:sz w:val="18"/>
          <w:szCs w:val="18"/>
        </w:rPr>
      </w:pPr>
      <w:r w:rsidRPr="00D2310A">
        <w:rPr>
          <w:i/>
          <w:sz w:val="18"/>
          <w:szCs w:val="18"/>
        </w:rPr>
        <w:t>Liberty Mutual</w:t>
      </w:r>
      <w:r>
        <w:rPr>
          <w:i/>
          <w:sz w:val="18"/>
          <w:szCs w:val="18"/>
        </w:rPr>
        <w:t xml:space="preserve"> </w:t>
      </w:r>
      <w:r w:rsidRPr="00D2310A">
        <w:rPr>
          <w:i/>
          <w:sz w:val="18"/>
          <w:szCs w:val="18"/>
        </w:rPr>
        <w:t>-</w:t>
      </w:r>
      <w:r>
        <w:rPr>
          <w:i/>
          <w:sz w:val="18"/>
          <w:szCs w:val="18"/>
        </w:rPr>
        <w:t xml:space="preserve"> </w:t>
      </w:r>
      <w:r w:rsidR="001E2CD1" w:rsidRPr="00546909">
        <w:rPr>
          <w:sz w:val="18"/>
          <w:szCs w:val="18"/>
        </w:rPr>
        <w:t xml:space="preserve">Dover 3,500 </w:t>
      </w:r>
    </w:p>
    <w:p w:rsidR="001E2CD1" w:rsidRPr="00546909" w:rsidRDefault="001E2CD1" w:rsidP="00E85EF4">
      <w:pPr>
        <w:pStyle w:val="ListParagraph"/>
        <w:numPr>
          <w:ilvl w:val="0"/>
          <w:numId w:val="25"/>
        </w:numPr>
        <w:spacing w:after="0"/>
        <w:ind w:left="360"/>
        <w:rPr>
          <w:sz w:val="18"/>
          <w:szCs w:val="18"/>
        </w:rPr>
      </w:pPr>
      <w:r w:rsidRPr="00D2310A">
        <w:rPr>
          <w:i/>
          <w:sz w:val="18"/>
          <w:szCs w:val="18"/>
        </w:rPr>
        <w:t>City of Rochester</w:t>
      </w:r>
      <w:r w:rsidRPr="00546909">
        <w:rPr>
          <w:sz w:val="18"/>
          <w:szCs w:val="18"/>
        </w:rPr>
        <w:t xml:space="preserve"> - Schools Rochester 1,155 </w:t>
      </w:r>
    </w:p>
    <w:p w:rsidR="008C5C53" w:rsidRDefault="00964CE7" w:rsidP="00E85EF4">
      <w:pPr>
        <w:pStyle w:val="ListParagraph"/>
        <w:numPr>
          <w:ilvl w:val="0"/>
          <w:numId w:val="25"/>
        </w:numPr>
        <w:spacing w:after="0"/>
        <w:ind w:left="360"/>
        <w:rPr>
          <w:sz w:val="18"/>
          <w:szCs w:val="18"/>
        </w:rPr>
      </w:pPr>
      <w:r w:rsidRPr="00D2310A">
        <w:rPr>
          <w:i/>
          <w:sz w:val="18"/>
          <w:szCs w:val="18"/>
        </w:rPr>
        <w:t>City of Dover</w:t>
      </w:r>
      <w:r w:rsidR="00D2310A">
        <w:rPr>
          <w:i/>
          <w:sz w:val="18"/>
          <w:szCs w:val="18"/>
        </w:rPr>
        <w:t xml:space="preserve"> </w:t>
      </w:r>
      <w:r w:rsidRPr="00546909">
        <w:rPr>
          <w:sz w:val="18"/>
          <w:szCs w:val="18"/>
        </w:rPr>
        <w:t>-</w:t>
      </w:r>
      <w:r w:rsidR="00D2310A">
        <w:rPr>
          <w:sz w:val="18"/>
          <w:szCs w:val="18"/>
        </w:rPr>
        <w:t xml:space="preserve"> </w:t>
      </w:r>
      <w:r w:rsidR="001E2CD1" w:rsidRPr="00546909">
        <w:rPr>
          <w:sz w:val="18"/>
          <w:szCs w:val="18"/>
        </w:rPr>
        <w:t>Dover 1,139</w:t>
      </w:r>
    </w:p>
    <w:p w:rsidR="001E2CD1" w:rsidRPr="00546909" w:rsidRDefault="008C5C53" w:rsidP="008C5C53">
      <w:pPr>
        <w:pStyle w:val="ListParagraph"/>
        <w:numPr>
          <w:ilvl w:val="0"/>
          <w:numId w:val="25"/>
        </w:numPr>
        <w:spacing w:after="0"/>
        <w:ind w:left="360"/>
        <w:rPr>
          <w:sz w:val="18"/>
          <w:szCs w:val="18"/>
        </w:rPr>
      </w:pPr>
      <w:r w:rsidRPr="008C5C53">
        <w:rPr>
          <w:i/>
          <w:sz w:val="18"/>
          <w:szCs w:val="18"/>
        </w:rPr>
        <w:t>Wentworth-Douglass Hospital</w:t>
      </w:r>
      <w:r w:rsidRPr="008C5C53">
        <w:rPr>
          <w:sz w:val="18"/>
          <w:szCs w:val="18"/>
        </w:rPr>
        <w:t xml:space="preserve"> - Dover,100</w:t>
      </w:r>
    </w:p>
    <w:p w:rsidR="005B0029" w:rsidRPr="009128E4" w:rsidRDefault="00F97700" w:rsidP="008C5C53">
      <w:pPr>
        <w:spacing w:after="0"/>
        <w:sectPr w:rsidR="005B0029" w:rsidRPr="009128E4" w:rsidSect="005B0029">
          <w:type w:val="continuous"/>
          <w:pgSz w:w="12240" w:h="15840"/>
          <w:pgMar w:top="1440" w:right="1440" w:bottom="1440" w:left="1440" w:header="180" w:footer="720" w:gutter="0"/>
          <w:cols w:num="2" w:space="720"/>
          <w:docGrid w:linePitch="360"/>
        </w:sectPr>
      </w:pPr>
      <w:r>
        <w:rPr>
          <w:noProof/>
        </w:rPr>
        <w:lastRenderedPageBreak/>
        <mc:AlternateContent>
          <mc:Choice Requires="wps">
            <w:drawing>
              <wp:anchor distT="0" distB="0" distL="114300" distR="114300" simplePos="0" relativeHeight="251721728" behindDoc="0" locked="0" layoutInCell="1" allowOverlap="1" wp14:anchorId="74588ACB" wp14:editId="03D18902">
                <wp:simplePos x="0" y="0"/>
                <wp:positionH relativeFrom="column">
                  <wp:posOffset>3499945</wp:posOffset>
                </wp:positionH>
                <wp:positionV relativeFrom="paragraph">
                  <wp:posOffset>1907628</wp:posOffset>
                </wp:positionV>
                <wp:extent cx="2978763" cy="22034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63" cy="220345"/>
                        </a:xfrm>
                        <a:prstGeom prst="rect">
                          <a:avLst/>
                        </a:prstGeom>
                        <a:noFill/>
                        <a:ln w="9525">
                          <a:noFill/>
                          <a:miter lim="800000"/>
                          <a:headEnd/>
                          <a:tailEnd/>
                        </a:ln>
                      </wps:spPr>
                      <wps:txbx>
                        <w:txbxContent>
                          <w:p w:rsidR="009A5582" w:rsidRPr="00F04A9F" w:rsidRDefault="009A5582" w:rsidP="00F97700">
                            <w:pPr>
                              <w:rPr>
                                <w:sz w:val="16"/>
                                <w:szCs w:val="16"/>
                              </w:rPr>
                            </w:pPr>
                            <w:r>
                              <w:rPr>
                                <w:sz w:val="16"/>
                                <w:szCs w:val="16"/>
                              </w:rPr>
                              <w:t>Historic Newmarket</w:t>
                            </w:r>
                            <w:r>
                              <w:rPr>
                                <w:sz w:val="16"/>
                                <w:szCs w:val="16"/>
                              </w:rPr>
                              <w:tab/>
                              <w:t>Source: Town of Newmarket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5.6pt;margin-top:150.2pt;width:234.55pt;height:17.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" filled="f" stroked="f">
                <v:textbox>
                  <w:txbxContent>
                    <w:p w:rsidR="009A5582" w:rsidRPr="00F04A9F" w:rsidRDefault="009A5582" w:rsidP="00F97700">
                      <w:pPr>
                        <w:rPr>
                          <w:sz w:val="16"/>
                          <w:szCs w:val="16"/>
                        </w:rPr>
                      </w:pPr>
                      <w:r>
                        <w:rPr>
                          <w:sz w:val="16"/>
                          <w:szCs w:val="16"/>
                        </w:rPr>
                        <w:t>Historic Newmarket</w:t>
                      </w:r>
                      <w:r>
                        <w:rPr>
                          <w:sz w:val="16"/>
                          <w:szCs w:val="16"/>
                        </w:rPr>
                        <w:tab/>
                        <w:t>Source: Town of Newmarket</w:t>
                      </w:r>
                    </w:p>
                  </w:txbxContent>
                </v:textbox>
              </v:shape>
            </w:pict>
          </mc:Fallback>
        </mc:AlternateContent>
      </w:r>
      <w:r w:rsidR="008C5C53" w:rsidRPr="008C5C53">
        <w:rPr>
          <w:noProof/>
        </w:rPr>
        <w:drawing>
          <wp:anchor distT="0" distB="0" distL="114300" distR="114300" simplePos="0" relativeHeight="251684864" behindDoc="1" locked="0" layoutInCell="1" allowOverlap="1" wp14:anchorId="530CC2A7" wp14:editId="2B94539D">
            <wp:simplePos x="0" y="0"/>
            <wp:positionH relativeFrom="column">
              <wp:posOffset>-372110</wp:posOffset>
            </wp:positionH>
            <wp:positionV relativeFrom="paragraph">
              <wp:posOffset>-30480</wp:posOffset>
            </wp:positionV>
            <wp:extent cx="6851650" cy="2054225"/>
            <wp:effectExtent l="0" t="0" r="6350" b="3175"/>
            <wp:wrapSquare wrapText="bothSides"/>
            <wp:docPr id="12" name="Picture 12" descr="http://chinburg.com/newmarket-mills/wp-content/uploads/2013/01/o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inburg.com/newmarket-mills/wp-content/uploads/2013/01/old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7462" b="10604"/>
                    <a:stretch/>
                  </pic:blipFill>
                  <pic:spPr bwMode="auto">
                    <a:xfrm>
                      <a:off x="0" y="0"/>
                      <a:ext cx="6851650" cy="205422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C7" w:rsidRPr="002725B4" w:rsidRDefault="009E47C7" w:rsidP="002725B4">
      <w:pPr>
        <w:pStyle w:val="Heading1"/>
        <w:ind w:left="-720" w:right="-720"/>
      </w:pPr>
      <w:bookmarkStart w:id="18" w:name="_Toc427316506"/>
      <w:r w:rsidRPr="002725B4">
        <w:t>Housing</w:t>
      </w:r>
      <w:bookmarkEnd w:id="18"/>
    </w:p>
    <w:p w:rsidR="00A03250" w:rsidRPr="0016783C" w:rsidRDefault="00A03250" w:rsidP="000A70BF">
      <w:pPr>
        <w:ind w:left="-720" w:right="-720"/>
      </w:pPr>
      <w:r w:rsidRPr="0016783C">
        <w:t xml:space="preserve">Elements of this </w:t>
      </w:r>
      <w:r w:rsidR="008C5C53">
        <w:t xml:space="preserve">housing </w:t>
      </w:r>
      <w:r w:rsidRPr="0016783C">
        <w:t xml:space="preserve">component </w:t>
      </w:r>
      <w:proofErr w:type="gramStart"/>
      <w:r w:rsidRPr="0016783C">
        <w:t>are based</w:t>
      </w:r>
      <w:proofErr w:type="gramEnd"/>
      <w:r w:rsidRPr="0016783C">
        <w:t xml:space="preserve"> upon the population and income characteristics and projections detailed </w:t>
      </w:r>
      <w:r w:rsidR="009709F2">
        <w:t>previously</w:t>
      </w:r>
      <w:r w:rsidRPr="0016783C">
        <w:t xml:space="preserve">. An intimate understanding of the relationship between housing, demographic, and income traits is integral in gaining a complete picture of the past, present, and future of </w:t>
      </w:r>
      <w:r w:rsidR="009F1F0F" w:rsidRPr="0016783C">
        <w:t>Newmarket</w:t>
      </w:r>
      <w:r w:rsidRPr="0016783C">
        <w:t xml:space="preserve">. Within this </w:t>
      </w:r>
      <w:proofErr w:type="gramStart"/>
      <w:r w:rsidRPr="0016783C">
        <w:t>section</w:t>
      </w:r>
      <w:proofErr w:type="gramEnd"/>
      <w:r w:rsidRPr="0016783C">
        <w:t xml:space="preserve"> you will find information related to housing availability, affordability, quality, suitability, and of course, viability. Together these elements forge a strong foundation upon which goals and recommendations for the future of </w:t>
      </w:r>
      <w:r w:rsidR="009F1F0F" w:rsidRPr="0016783C">
        <w:t>Newmarket</w:t>
      </w:r>
      <w:r w:rsidRPr="0016783C">
        <w:t xml:space="preserve">’s housing stock </w:t>
      </w:r>
      <w:proofErr w:type="gramStart"/>
      <w:r w:rsidRPr="0016783C">
        <w:t>can be built</w:t>
      </w:r>
      <w:proofErr w:type="gramEnd"/>
      <w:r w:rsidRPr="0016783C">
        <w:t>.</w:t>
      </w:r>
    </w:p>
    <w:p w:rsidR="009D73CE" w:rsidRPr="0016783C" w:rsidRDefault="009D73CE" w:rsidP="007B428D">
      <w:pPr>
        <w:ind w:left="-720" w:right="-720"/>
      </w:pPr>
      <w:r w:rsidRPr="0016783C">
        <w:t xml:space="preserve">The average lot size for </w:t>
      </w:r>
      <w:proofErr w:type="gramStart"/>
      <w:r w:rsidRPr="0016783C">
        <w:t>single family</w:t>
      </w:r>
      <w:proofErr w:type="gramEnd"/>
      <w:r w:rsidRPr="0016783C">
        <w:t xml:space="preserve"> homes</w:t>
      </w:r>
      <w:r w:rsidR="00AF24F9">
        <w:t xml:space="preserve"> in Newmarket</w:t>
      </w:r>
      <w:r w:rsidRPr="0016783C">
        <w:t xml:space="preserve"> is approximately 1.37 acres. Housing stock age varies, </w:t>
      </w:r>
      <w:r w:rsidR="009709F2">
        <w:t>with</w:t>
      </w:r>
      <w:r w:rsidRPr="0016783C">
        <w:t xml:space="preserve"> the average year of construction for single-family units </w:t>
      </w:r>
      <w:r w:rsidR="009709F2">
        <w:t>at</w:t>
      </w:r>
      <w:r w:rsidRPr="0016783C">
        <w:t xml:space="preserve"> 1964 and median construction year </w:t>
      </w:r>
      <w:r w:rsidR="009709F2">
        <w:t>at</w:t>
      </w:r>
      <w:r w:rsidR="005C65E3">
        <w:t xml:space="preserve"> </w:t>
      </w:r>
      <w:r w:rsidRPr="0016783C">
        <w:t>1985. Assessing data also indicate a median total parcel and structure value of approximately $253,558.</w:t>
      </w:r>
    </w:p>
    <w:p w:rsidR="009E47C7" w:rsidRPr="009128E4" w:rsidRDefault="009E47C7" w:rsidP="008C5C53">
      <w:pPr>
        <w:pStyle w:val="Heading2"/>
      </w:pPr>
      <w:bookmarkStart w:id="19" w:name="_Toc427316507"/>
      <w:r w:rsidRPr="009128E4">
        <w:t>Household Type</w:t>
      </w:r>
      <w:bookmarkEnd w:id="19"/>
    </w:p>
    <w:tbl>
      <w:tblPr>
        <w:tblStyle w:val="ColorfulList"/>
        <w:tblpPr w:leftFromText="180" w:rightFromText="180" w:vertAnchor="text" w:horzAnchor="page" w:tblpX="4326" w:tblpY="99"/>
        <w:tblW w:w="7578" w:type="dxa"/>
        <w:tblLayout w:type="fixed"/>
        <w:tblLook w:val="04A0" w:firstRow="1" w:lastRow="0" w:firstColumn="1" w:lastColumn="0" w:noHBand="0" w:noVBand="1"/>
      </w:tblPr>
      <w:tblGrid>
        <w:gridCol w:w="1368"/>
        <w:gridCol w:w="731"/>
        <w:gridCol w:w="731"/>
        <w:gridCol w:w="731"/>
        <w:gridCol w:w="1317"/>
        <w:gridCol w:w="1260"/>
        <w:gridCol w:w="1440"/>
      </w:tblGrid>
      <w:tr w:rsidR="00AA6237" w:rsidRPr="00546909" w:rsidTr="00AA623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78" w:type="dxa"/>
            <w:gridSpan w:val="7"/>
            <w:noWrap/>
            <w:vAlign w:val="center"/>
            <w:hideMark/>
          </w:tcPr>
          <w:p w:rsidR="00AA6237" w:rsidRPr="009D73CE" w:rsidRDefault="00AA6237" w:rsidP="001B6562">
            <w:pPr>
              <w:jc w:val="left"/>
              <w:rPr>
                <w:rFonts w:eastAsia="Times New Roman" w:cs="Times New Roman"/>
                <w:b w:val="0"/>
                <w:bCs w:val="0"/>
                <w:sz w:val="28"/>
                <w:szCs w:val="28"/>
              </w:rPr>
            </w:pPr>
            <w:r w:rsidRPr="009D73CE">
              <w:rPr>
                <w:rFonts w:eastAsia="Times New Roman" w:cs="Times New Roman"/>
                <w:b w:val="0"/>
                <w:bCs w:val="0"/>
                <w:sz w:val="28"/>
                <w:szCs w:val="28"/>
              </w:rPr>
              <w:t xml:space="preserve">Table </w:t>
            </w:r>
            <w:r w:rsidR="001B6562">
              <w:rPr>
                <w:rFonts w:eastAsia="Times New Roman" w:cs="Times New Roman"/>
                <w:b w:val="0"/>
                <w:bCs w:val="0"/>
                <w:sz w:val="28"/>
                <w:szCs w:val="28"/>
              </w:rPr>
              <w:t>5</w:t>
            </w:r>
            <w:r w:rsidRPr="009D73CE">
              <w:rPr>
                <w:rFonts w:eastAsia="Times New Roman" w:cs="Times New Roman"/>
                <w:b w:val="0"/>
                <w:bCs w:val="0"/>
                <w:sz w:val="28"/>
                <w:szCs w:val="28"/>
              </w:rPr>
              <w:t>: Housing Unit Type</w:t>
            </w:r>
          </w:p>
        </w:tc>
      </w:tr>
      <w:tr w:rsidR="00AA6237" w:rsidRPr="00546909" w:rsidTr="00AA623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68" w:type="dxa"/>
            <w:noWrap/>
            <w:hideMark/>
          </w:tcPr>
          <w:p w:rsidR="00AA6237" w:rsidRPr="00AA6237" w:rsidRDefault="00AA6237" w:rsidP="00AA6237">
            <w:pPr>
              <w:jc w:val="left"/>
              <w:rPr>
                <w:rFonts w:eastAsia="Times New Roman" w:cs="Times New Roman"/>
              </w:rPr>
            </w:pPr>
            <w:r w:rsidRPr="00AA6237">
              <w:rPr>
                <w:rFonts w:eastAsia="Times New Roman" w:cs="Times New Roman"/>
              </w:rPr>
              <w:t> </w:t>
            </w:r>
          </w:p>
        </w:tc>
        <w:tc>
          <w:tcPr>
            <w:tcW w:w="731" w:type="dxa"/>
            <w:noWrap/>
            <w:hideMark/>
          </w:tcPr>
          <w:p w:rsidR="00AA6237" w:rsidRPr="00AA6237" w:rsidRDefault="00AA6237" w:rsidP="00AA62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A6237">
              <w:rPr>
                <w:rFonts w:eastAsia="Times New Roman" w:cs="Times New Roman"/>
                <w:b/>
              </w:rPr>
              <w:t>1990</w:t>
            </w:r>
          </w:p>
        </w:tc>
        <w:tc>
          <w:tcPr>
            <w:tcW w:w="731" w:type="dxa"/>
            <w:noWrap/>
            <w:hideMark/>
          </w:tcPr>
          <w:p w:rsidR="00AA6237" w:rsidRPr="00AA6237" w:rsidRDefault="00AA6237" w:rsidP="00AA62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A6237">
              <w:rPr>
                <w:rFonts w:eastAsia="Times New Roman" w:cs="Times New Roman"/>
                <w:b/>
              </w:rPr>
              <w:t>2000</w:t>
            </w:r>
          </w:p>
        </w:tc>
        <w:tc>
          <w:tcPr>
            <w:tcW w:w="731" w:type="dxa"/>
            <w:noWrap/>
            <w:hideMark/>
          </w:tcPr>
          <w:p w:rsidR="00AA6237" w:rsidRPr="00AA6237" w:rsidRDefault="00AA6237" w:rsidP="00AA62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A6237">
              <w:rPr>
                <w:rFonts w:eastAsia="Times New Roman" w:cs="Times New Roman"/>
                <w:b/>
              </w:rPr>
              <w:t>2010</w:t>
            </w:r>
          </w:p>
        </w:tc>
        <w:tc>
          <w:tcPr>
            <w:tcW w:w="1317" w:type="dxa"/>
            <w:hideMark/>
          </w:tcPr>
          <w:p w:rsidR="00AA6237" w:rsidRPr="00AA6237" w:rsidRDefault="00AA6237" w:rsidP="00AA62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A6237">
              <w:rPr>
                <w:rFonts w:eastAsia="Times New Roman" w:cs="Times New Roman"/>
                <w:b/>
              </w:rPr>
              <w:t>Total Change 1990-2010</w:t>
            </w:r>
          </w:p>
        </w:tc>
        <w:tc>
          <w:tcPr>
            <w:tcW w:w="1260" w:type="dxa"/>
            <w:hideMark/>
          </w:tcPr>
          <w:p w:rsidR="00AA6237" w:rsidRPr="00AA6237" w:rsidRDefault="00AA6237" w:rsidP="00AA62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A6237">
              <w:rPr>
                <w:rFonts w:eastAsia="Times New Roman" w:cs="Times New Roman"/>
                <w:b/>
              </w:rPr>
              <w:t>Percent Change 1990-2010</w:t>
            </w:r>
          </w:p>
        </w:tc>
        <w:tc>
          <w:tcPr>
            <w:tcW w:w="1440" w:type="dxa"/>
            <w:hideMark/>
          </w:tcPr>
          <w:p w:rsidR="00AA6237" w:rsidRPr="00AA6237" w:rsidRDefault="00AA6237" w:rsidP="00AA62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A6237">
              <w:rPr>
                <w:rFonts w:eastAsia="Times New Roman" w:cs="Times New Roman"/>
                <w:b/>
              </w:rPr>
              <w:t>Composition 2010</w:t>
            </w:r>
          </w:p>
        </w:tc>
      </w:tr>
      <w:tr w:rsidR="00920F81" w:rsidRPr="00546909" w:rsidTr="00920F81">
        <w:trPr>
          <w:trHeight w:val="236"/>
        </w:trPr>
        <w:tc>
          <w:tcPr>
            <w:cnfStyle w:val="001000000000" w:firstRow="0" w:lastRow="0" w:firstColumn="1" w:lastColumn="0" w:oddVBand="0" w:evenVBand="0" w:oddHBand="0" w:evenHBand="0" w:firstRowFirstColumn="0" w:firstRowLastColumn="0" w:lastRowFirstColumn="0" w:lastRowLastColumn="0"/>
            <w:tcW w:w="1368" w:type="dxa"/>
            <w:hideMark/>
          </w:tcPr>
          <w:p w:rsidR="00920F81" w:rsidRPr="00CF00FC" w:rsidRDefault="00920F81" w:rsidP="00AA6237">
            <w:pPr>
              <w:jc w:val="left"/>
              <w:rPr>
                <w:rFonts w:eastAsia="Times New Roman" w:cs="Times New Roman"/>
                <w:b w:val="0"/>
                <w:bCs w:val="0"/>
              </w:rPr>
            </w:pPr>
            <w:r w:rsidRPr="00CF00FC">
              <w:rPr>
                <w:rFonts w:eastAsia="Times New Roman" w:cs="Times New Roman"/>
                <w:b w:val="0"/>
                <w:bCs w:val="0"/>
              </w:rPr>
              <w:t>Total Housing Units</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2400</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3457</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4139</w:t>
            </w:r>
          </w:p>
        </w:tc>
        <w:tc>
          <w:tcPr>
            <w:tcW w:w="1317"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1739</w:t>
            </w:r>
          </w:p>
        </w:tc>
        <w:tc>
          <w:tcPr>
            <w:tcW w:w="1260" w:type="dxa"/>
            <w:noWrap/>
            <w:hideMark/>
          </w:tcPr>
          <w:p w:rsidR="00920F81" w:rsidRPr="00920F81" w:rsidRDefault="00920F81" w:rsidP="00920F81">
            <w:pPr>
              <w:jc w:val="right"/>
              <w:cnfStyle w:val="000000000000" w:firstRow="0" w:lastRow="0" w:firstColumn="0" w:lastColumn="0" w:oddVBand="0" w:evenVBand="0" w:oddHBand="0" w:evenHBand="0" w:firstRowFirstColumn="0" w:firstRowLastColumn="0" w:lastRowFirstColumn="0" w:lastRowLastColumn="0"/>
              <w:rPr>
                <w:color w:val="000000"/>
              </w:rPr>
            </w:pPr>
            <w:r w:rsidRPr="00920F81">
              <w:rPr>
                <w:color w:val="000000"/>
              </w:rPr>
              <w:t>72%</w:t>
            </w:r>
          </w:p>
        </w:tc>
        <w:tc>
          <w:tcPr>
            <w:tcW w:w="1440" w:type="dxa"/>
            <w:noWrap/>
            <w:hideMark/>
          </w:tcPr>
          <w:p w:rsidR="00920F81" w:rsidRPr="00920F81"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20F81">
              <w:rPr>
                <w:rFonts w:eastAsia="Times New Roman" w:cs="Times New Roman"/>
              </w:rPr>
              <w:t>100.00%</w:t>
            </w:r>
          </w:p>
        </w:tc>
      </w:tr>
      <w:tr w:rsidR="00920F81" w:rsidRPr="00546909" w:rsidTr="00920F8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68" w:type="dxa"/>
            <w:hideMark/>
          </w:tcPr>
          <w:p w:rsidR="00920F81" w:rsidRPr="00CF00FC" w:rsidRDefault="00920F81" w:rsidP="00AA6237">
            <w:pPr>
              <w:jc w:val="left"/>
              <w:rPr>
                <w:rFonts w:eastAsia="Times New Roman" w:cs="Times New Roman"/>
                <w:b w:val="0"/>
                <w:bCs w:val="0"/>
              </w:rPr>
            </w:pPr>
            <w:r w:rsidRPr="00CF00FC">
              <w:rPr>
                <w:rFonts w:eastAsia="Times New Roman" w:cs="Times New Roman"/>
                <w:b w:val="0"/>
                <w:bCs w:val="0"/>
              </w:rPr>
              <w:t>Occupied Units</w:t>
            </w:r>
          </w:p>
        </w:tc>
        <w:tc>
          <w:tcPr>
            <w:tcW w:w="731"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00FC">
              <w:rPr>
                <w:rFonts w:eastAsia="Times New Roman" w:cs="Times New Roman"/>
              </w:rPr>
              <w:t>2079</w:t>
            </w:r>
          </w:p>
        </w:tc>
        <w:tc>
          <w:tcPr>
            <w:tcW w:w="731"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00FC">
              <w:rPr>
                <w:rFonts w:eastAsia="Times New Roman" w:cs="Times New Roman"/>
              </w:rPr>
              <w:t>3379</w:t>
            </w:r>
          </w:p>
        </w:tc>
        <w:tc>
          <w:tcPr>
            <w:tcW w:w="731"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00FC">
              <w:rPr>
                <w:rFonts w:eastAsia="Times New Roman" w:cs="Times New Roman"/>
              </w:rPr>
              <w:t>3857</w:t>
            </w:r>
          </w:p>
        </w:tc>
        <w:tc>
          <w:tcPr>
            <w:tcW w:w="1317"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1778</w:t>
            </w:r>
          </w:p>
        </w:tc>
        <w:tc>
          <w:tcPr>
            <w:tcW w:w="1260" w:type="dxa"/>
            <w:noWrap/>
            <w:hideMark/>
          </w:tcPr>
          <w:p w:rsidR="00920F81" w:rsidRPr="00920F81" w:rsidRDefault="00920F81" w:rsidP="00920F81">
            <w:pPr>
              <w:jc w:val="right"/>
              <w:cnfStyle w:val="000000100000" w:firstRow="0" w:lastRow="0" w:firstColumn="0" w:lastColumn="0" w:oddVBand="0" w:evenVBand="0" w:oddHBand="1" w:evenHBand="0" w:firstRowFirstColumn="0" w:firstRowLastColumn="0" w:lastRowFirstColumn="0" w:lastRowLastColumn="0"/>
              <w:rPr>
                <w:color w:val="000000"/>
              </w:rPr>
            </w:pPr>
            <w:r w:rsidRPr="00920F81">
              <w:rPr>
                <w:color w:val="000000"/>
              </w:rPr>
              <w:t>86%</w:t>
            </w:r>
          </w:p>
        </w:tc>
        <w:tc>
          <w:tcPr>
            <w:tcW w:w="1440" w:type="dxa"/>
            <w:noWrap/>
            <w:hideMark/>
          </w:tcPr>
          <w:p w:rsidR="00920F81" w:rsidRPr="00920F81"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20F81">
              <w:rPr>
                <w:rFonts w:eastAsia="Times New Roman" w:cs="Times New Roman"/>
              </w:rPr>
              <w:t>93.19%</w:t>
            </w:r>
          </w:p>
        </w:tc>
      </w:tr>
      <w:tr w:rsidR="00920F81" w:rsidRPr="00546909" w:rsidTr="00920F81">
        <w:trPr>
          <w:trHeight w:val="296"/>
        </w:trPr>
        <w:tc>
          <w:tcPr>
            <w:cnfStyle w:val="001000000000" w:firstRow="0" w:lastRow="0" w:firstColumn="1" w:lastColumn="0" w:oddVBand="0" w:evenVBand="0" w:oddHBand="0" w:evenHBand="0" w:firstRowFirstColumn="0" w:firstRowLastColumn="0" w:lastRowFirstColumn="0" w:lastRowLastColumn="0"/>
            <w:tcW w:w="1368" w:type="dxa"/>
            <w:hideMark/>
          </w:tcPr>
          <w:p w:rsidR="00920F81" w:rsidRPr="00CF00FC" w:rsidRDefault="00920F81" w:rsidP="00AA6237">
            <w:pPr>
              <w:jc w:val="left"/>
              <w:rPr>
                <w:rFonts w:eastAsia="Times New Roman" w:cs="Times New Roman"/>
                <w:b w:val="0"/>
                <w:bCs w:val="0"/>
              </w:rPr>
            </w:pPr>
            <w:r w:rsidRPr="00CF00FC">
              <w:rPr>
                <w:rFonts w:eastAsia="Times New Roman" w:cs="Times New Roman"/>
                <w:b w:val="0"/>
                <w:bCs w:val="0"/>
              </w:rPr>
              <w:t>Vacant Units</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321</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78</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282</w:t>
            </w:r>
          </w:p>
        </w:tc>
        <w:tc>
          <w:tcPr>
            <w:tcW w:w="1317"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-39</w:t>
            </w:r>
          </w:p>
        </w:tc>
        <w:tc>
          <w:tcPr>
            <w:tcW w:w="1260" w:type="dxa"/>
            <w:noWrap/>
            <w:hideMark/>
          </w:tcPr>
          <w:p w:rsidR="00920F81" w:rsidRPr="00920F81" w:rsidRDefault="00920F81" w:rsidP="00920F81">
            <w:pPr>
              <w:jc w:val="right"/>
              <w:cnfStyle w:val="000000000000" w:firstRow="0" w:lastRow="0" w:firstColumn="0" w:lastColumn="0" w:oddVBand="0" w:evenVBand="0" w:oddHBand="0" w:evenHBand="0" w:firstRowFirstColumn="0" w:firstRowLastColumn="0" w:lastRowFirstColumn="0" w:lastRowLastColumn="0"/>
              <w:rPr>
                <w:color w:val="000000"/>
              </w:rPr>
            </w:pPr>
            <w:r w:rsidRPr="00920F81">
              <w:rPr>
                <w:color w:val="000000"/>
              </w:rPr>
              <w:t>-12%</w:t>
            </w:r>
          </w:p>
        </w:tc>
        <w:tc>
          <w:tcPr>
            <w:tcW w:w="1440" w:type="dxa"/>
            <w:noWrap/>
            <w:hideMark/>
          </w:tcPr>
          <w:p w:rsidR="00920F81" w:rsidRPr="00920F81"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20F81">
              <w:rPr>
                <w:rFonts w:eastAsia="Times New Roman" w:cs="Times New Roman"/>
              </w:rPr>
              <w:t>6.81%</w:t>
            </w:r>
          </w:p>
        </w:tc>
      </w:tr>
      <w:tr w:rsidR="00920F81" w:rsidRPr="00546909" w:rsidTr="00920F8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368" w:type="dxa"/>
            <w:hideMark/>
          </w:tcPr>
          <w:p w:rsidR="00920F81" w:rsidRPr="00CF00FC" w:rsidRDefault="00920F81" w:rsidP="00AA6237">
            <w:pPr>
              <w:jc w:val="left"/>
              <w:rPr>
                <w:rFonts w:eastAsia="Times New Roman" w:cs="Times New Roman"/>
                <w:b w:val="0"/>
                <w:bCs w:val="0"/>
              </w:rPr>
            </w:pPr>
            <w:r w:rsidRPr="00CF00FC">
              <w:rPr>
                <w:rFonts w:eastAsia="Times New Roman" w:cs="Times New Roman"/>
                <w:b w:val="0"/>
                <w:bCs w:val="0"/>
              </w:rPr>
              <w:t>Owner-Occupied Units</w:t>
            </w:r>
          </w:p>
        </w:tc>
        <w:tc>
          <w:tcPr>
            <w:tcW w:w="731"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00FC">
              <w:rPr>
                <w:rFonts w:eastAsia="Times New Roman" w:cs="Times New Roman"/>
              </w:rPr>
              <w:t>871</w:t>
            </w:r>
          </w:p>
        </w:tc>
        <w:tc>
          <w:tcPr>
            <w:tcW w:w="731"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00FC">
              <w:rPr>
                <w:rFonts w:eastAsia="Times New Roman" w:cs="Times New Roman"/>
              </w:rPr>
              <w:t>1779</w:t>
            </w:r>
          </w:p>
        </w:tc>
        <w:tc>
          <w:tcPr>
            <w:tcW w:w="731"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00FC">
              <w:rPr>
                <w:rFonts w:eastAsia="Times New Roman" w:cs="Times New Roman"/>
              </w:rPr>
              <w:t>2100</w:t>
            </w:r>
          </w:p>
        </w:tc>
        <w:tc>
          <w:tcPr>
            <w:tcW w:w="1317" w:type="dxa"/>
            <w:noWrap/>
            <w:hideMark/>
          </w:tcPr>
          <w:p w:rsidR="00920F81" w:rsidRPr="00CF00FC"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1229</w:t>
            </w:r>
          </w:p>
        </w:tc>
        <w:tc>
          <w:tcPr>
            <w:tcW w:w="1260" w:type="dxa"/>
            <w:noWrap/>
            <w:hideMark/>
          </w:tcPr>
          <w:p w:rsidR="00920F81" w:rsidRPr="00920F81" w:rsidRDefault="00920F81" w:rsidP="00920F81">
            <w:pPr>
              <w:jc w:val="right"/>
              <w:cnfStyle w:val="000000100000" w:firstRow="0" w:lastRow="0" w:firstColumn="0" w:lastColumn="0" w:oddVBand="0" w:evenVBand="0" w:oddHBand="1" w:evenHBand="0" w:firstRowFirstColumn="0" w:firstRowLastColumn="0" w:lastRowFirstColumn="0" w:lastRowLastColumn="0"/>
              <w:rPr>
                <w:color w:val="000000"/>
              </w:rPr>
            </w:pPr>
            <w:r w:rsidRPr="00920F81">
              <w:rPr>
                <w:color w:val="000000"/>
              </w:rPr>
              <w:t>141%</w:t>
            </w:r>
          </w:p>
        </w:tc>
        <w:tc>
          <w:tcPr>
            <w:tcW w:w="1440" w:type="dxa"/>
            <w:noWrap/>
            <w:hideMark/>
          </w:tcPr>
          <w:p w:rsidR="00920F81" w:rsidRPr="00920F81" w:rsidRDefault="00920F81" w:rsidP="00AA623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20F81">
              <w:rPr>
                <w:rFonts w:eastAsia="Times New Roman" w:cs="Times New Roman"/>
              </w:rPr>
              <w:t>50.74%</w:t>
            </w:r>
          </w:p>
        </w:tc>
      </w:tr>
      <w:tr w:rsidR="00920F81" w:rsidRPr="00546909" w:rsidTr="00920F81">
        <w:trPr>
          <w:trHeight w:val="243"/>
        </w:trPr>
        <w:tc>
          <w:tcPr>
            <w:cnfStyle w:val="001000000000" w:firstRow="0" w:lastRow="0" w:firstColumn="1" w:lastColumn="0" w:oddVBand="0" w:evenVBand="0" w:oddHBand="0" w:evenHBand="0" w:firstRowFirstColumn="0" w:firstRowLastColumn="0" w:lastRowFirstColumn="0" w:lastRowLastColumn="0"/>
            <w:tcW w:w="1368" w:type="dxa"/>
            <w:hideMark/>
          </w:tcPr>
          <w:p w:rsidR="00920F81" w:rsidRPr="00CF00FC" w:rsidRDefault="00920F81" w:rsidP="00AA6237">
            <w:pPr>
              <w:jc w:val="left"/>
              <w:rPr>
                <w:rFonts w:eastAsia="Times New Roman" w:cs="Times New Roman"/>
                <w:b w:val="0"/>
                <w:bCs w:val="0"/>
              </w:rPr>
            </w:pPr>
            <w:r w:rsidRPr="00CF00FC">
              <w:rPr>
                <w:rFonts w:eastAsia="Times New Roman" w:cs="Times New Roman"/>
                <w:b w:val="0"/>
                <w:bCs w:val="0"/>
              </w:rPr>
              <w:t>Renter-Occupied Units</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1208</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1600</w:t>
            </w:r>
          </w:p>
        </w:tc>
        <w:tc>
          <w:tcPr>
            <w:tcW w:w="731"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00FC">
              <w:rPr>
                <w:rFonts w:eastAsia="Times New Roman" w:cs="Times New Roman"/>
              </w:rPr>
              <w:t>1757</w:t>
            </w:r>
          </w:p>
        </w:tc>
        <w:tc>
          <w:tcPr>
            <w:tcW w:w="1317" w:type="dxa"/>
            <w:noWrap/>
            <w:hideMark/>
          </w:tcPr>
          <w:p w:rsidR="00920F81" w:rsidRPr="00CF00FC"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549</w:t>
            </w:r>
          </w:p>
        </w:tc>
        <w:tc>
          <w:tcPr>
            <w:tcW w:w="1260" w:type="dxa"/>
            <w:noWrap/>
            <w:hideMark/>
          </w:tcPr>
          <w:p w:rsidR="00920F81" w:rsidRPr="00920F81" w:rsidRDefault="00920F81" w:rsidP="00920F81">
            <w:pPr>
              <w:jc w:val="right"/>
              <w:cnfStyle w:val="000000000000" w:firstRow="0" w:lastRow="0" w:firstColumn="0" w:lastColumn="0" w:oddVBand="0" w:evenVBand="0" w:oddHBand="0" w:evenHBand="0" w:firstRowFirstColumn="0" w:firstRowLastColumn="0" w:lastRowFirstColumn="0" w:lastRowLastColumn="0"/>
              <w:rPr>
                <w:color w:val="000000"/>
              </w:rPr>
            </w:pPr>
            <w:r w:rsidRPr="00920F81">
              <w:rPr>
                <w:color w:val="000000"/>
              </w:rPr>
              <w:t>45%</w:t>
            </w:r>
          </w:p>
        </w:tc>
        <w:tc>
          <w:tcPr>
            <w:tcW w:w="1440" w:type="dxa"/>
            <w:noWrap/>
            <w:hideMark/>
          </w:tcPr>
          <w:p w:rsidR="00920F81" w:rsidRPr="00920F81" w:rsidRDefault="00920F81" w:rsidP="00AA623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20F81">
              <w:rPr>
                <w:rFonts w:eastAsia="Times New Roman" w:cs="Times New Roman"/>
              </w:rPr>
              <w:t>42.45%</w:t>
            </w:r>
          </w:p>
        </w:tc>
      </w:tr>
      <w:tr w:rsidR="00AA6237" w:rsidRPr="00546909" w:rsidTr="003A724B">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8" w:type="dxa"/>
            <w:gridSpan w:val="7"/>
            <w:shd w:val="clear" w:color="auto" w:fill="auto"/>
            <w:hideMark/>
          </w:tcPr>
          <w:p w:rsidR="00AA6237" w:rsidRPr="009D73CE" w:rsidRDefault="00AA6237" w:rsidP="00AA6237">
            <w:pPr>
              <w:jc w:val="right"/>
              <w:rPr>
                <w:rFonts w:eastAsia="Times New Roman" w:cs="Times New Roman"/>
                <w:b w:val="0"/>
                <w:bCs w:val="0"/>
                <w:sz w:val="16"/>
                <w:szCs w:val="16"/>
              </w:rPr>
            </w:pPr>
            <w:r w:rsidRPr="009D73CE">
              <w:rPr>
                <w:rFonts w:eastAsia="Times New Roman" w:cs="Times New Roman"/>
                <w:b w:val="0"/>
                <w:bCs w:val="0"/>
                <w:sz w:val="16"/>
                <w:szCs w:val="16"/>
              </w:rPr>
              <w:t xml:space="preserve">Source: </w:t>
            </w:r>
            <w:r w:rsidR="004A036D">
              <w:rPr>
                <w:rFonts w:eastAsia="Times New Roman" w:cs="Times New Roman"/>
                <w:b w:val="0"/>
                <w:bCs w:val="0"/>
                <w:sz w:val="16"/>
                <w:szCs w:val="16"/>
              </w:rPr>
              <w:t>U.S. Census Bureau</w:t>
            </w:r>
          </w:p>
        </w:tc>
      </w:tr>
    </w:tbl>
    <w:p w:rsidR="00D82BDA" w:rsidRDefault="00AF24F9" w:rsidP="000A70BF">
      <w:pPr>
        <w:ind w:left="-720" w:right="-720"/>
      </w:pPr>
      <w:r>
        <w:t xml:space="preserve">The </w:t>
      </w:r>
      <w:r w:rsidR="005C65E3">
        <w:t>t</w:t>
      </w:r>
      <w:r>
        <w:t xml:space="preserve">own is home to </w:t>
      </w:r>
      <w:r w:rsidR="000E3720">
        <w:t>4,139</w:t>
      </w:r>
      <w:r>
        <w:t xml:space="preserve"> total recorded housing units, though 6.8% of these units were vacant </w:t>
      </w:r>
      <w:r w:rsidR="005C65E3">
        <w:t>in</w:t>
      </w:r>
      <w:r>
        <w:t xml:space="preserve"> 2010. Occupied housing units are composed of</w:t>
      </w:r>
      <w:r w:rsidR="000A551C" w:rsidRPr="000A70BF">
        <w:t xml:space="preserve"> </w:t>
      </w:r>
      <w:r w:rsidR="000A70BF" w:rsidRPr="000A70BF">
        <w:t>2,100</w:t>
      </w:r>
      <w:r w:rsidR="000A551C" w:rsidRPr="000A70BF">
        <w:t xml:space="preserve"> owner-occupied units and </w:t>
      </w:r>
      <w:r w:rsidR="000A70BF" w:rsidRPr="000A70BF">
        <w:t>1,757</w:t>
      </w:r>
      <w:r w:rsidR="000A551C" w:rsidRPr="000A70BF">
        <w:t xml:space="preserve"> renter occupied units as identified by the </w:t>
      </w:r>
      <w:r w:rsidR="004A036D">
        <w:t>U.S. Census Bureau</w:t>
      </w:r>
      <w:r w:rsidR="000A551C" w:rsidRPr="000A70BF">
        <w:t xml:space="preserve">. </w:t>
      </w:r>
    </w:p>
    <w:p w:rsidR="000A70BF" w:rsidRPr="000A70BF" w:rsidRDefault="000A70BF" w:rsidP="000A70BF">
      <w:pPr>
        <w:ind w:left="-720" w:right="-720"/>
      </w:pPr>
      <w:r>
        <w:t>In the period between 1990 and 2010, Newmark</w:t>
      </w:r>
      <w:r w:rsidR="005C65E3">
        <w:t>et saw an 18% increase in owner-</w:t>
      </w:r>
      <w:r>
        <w:t>occupied uni</w:t>
      </w:r>
      <w:r w:rsidR="005C65E3">
        <w:t>ts and a 10% increase in renter-</w:t>
      </w:r>
      <w:r>
        <w:t xml:space="preserve">occupied units. </w:t>
      </w:r>
    </w:p>
    <w:p w:rsidR="00F71D8E" w:rsidRPr="009128E4" w:rsidRDefault="00F71D8E" w:rsidP="008C5C53">
      <w:pPr>
        <w:pStyle w:val="Heading2"/>
      </w:pPr>
      <w:bookmarkStart w:id="20" w:name="_Toc427316508"/>
      <w:r w:rsidRPr="009128E4">
        <w:lastRenderedPageBreak/>
        <w:t>Family Households</w:t>
      </w:r>
      <w:bookmarkEnd w:id="20"/>
    </w:p>
    <w:tbl>
      <w:tblPr>
        <w:tblpPr w:leftFromText="180" w:rightFromText="180" w:vertAnchor="text" w:horzAnchor="page" w:tblpX="5734" w:tblpY="69"/>
        <w:tblW w:w="5508" w:type="dxa"/>
        <w:tblLook w:val="04A0" w:firstRow="1" w:lastRow="0" w:firstColumn="1" w:lastColumn="0" w:noHBand="0" w:noVBand="1"/>
      </w:tblPr>
      <w:tblGrid>
        <w:gridCol w:w="708"/>
        <w:gridCol w:w="1406"/>
        <w:gridCol w:w="1406"/>
        <w:gridCol w:w="1988"/>
      </w:tblGrid>
      <w:tr w:rsidR="00370A52" w:rsidRPr="00F71D8E" w:rsidTr="00370A52">
        <w:trPr>
          <w:trHeight w:val="450"/>
        </w:trPr>
        <w:tc>
          <w:tcPr>
            <w:tcW w:w="5508" w:type="dxa"/>
            <w:gridSpan w:val="4"/>
            <w:tcBorders>
              <w:top w:val="nil"/>
              <w:left w:val="nil"/>
              <w:bottom w:val="single" w:sz="12" w:space="0" w:color="FFFFFF"/>
              <w:right w:val="nil"/>
            </w:tcBorders>
            <w:shd w:val="clear" w:color="000000" w:fill="9E3A38"/>
            <w:noWrap/>
            <w:vAlign w:val="center"/>
            <w:hideMark/>
          </w:tcPr>
          <w:p w:rsidR="00370A52" w:rsidRPr="009D73CE" w:rsidRDefault="00370A52" w:rsidP="001B6562">
            <w:pPr>
              <w:spacing w:after="0" w:line="240" w:lineRule="auto"/>
              <w:jc w:val="left"/>
              <w:rPr>
                <w:rFonts w:eastAsia="Times New Roman" w:cs="Times New Roman"/>
                <w:bCs/>
                <w:sz w:val="28"/>
                <w:szCs w:val="28"/>
              </w:rPr>
            </w:pPr>
            <w:r>
              <w:rPr>
                <w:rFonts w:eastAsia="Times New Roman" w:cs="Times New Roman"/>
                <w:bCs/>
                <w:color w:val="FFFFFF" w:themeColor="background1"/>
                <w:sz w:val="28"/>
                <w:szCs w:val="28"/>
              </w:rPr>
              <w:t xml:space="preserve">Table  </w:t>
            </w:r>
            <w:r w:rsidR="001B6562">
              <w:rPr>
                <w:rFonts w:eastAsia="Times New Roman" w:cs="Times New Roman"/>
                <w:bCs/>
                <w:color w:val="FFFFFF" w:themeColor="background1"/>
                <w:sz w:val="28"/>
                <w:szCs w:val="28"/>
              </w:rPr>
              <w:t>6</w:t>
            </w:r>
            <w:r w:rsidRPr="009D73CE">
              <w:rPr>
                <w:rFonts w:eastAsia="Times New Roman" w:cs="Times New Roman"/>
                <w:bCs/>
                <w:color w:val="FFFFFF" w:themeColor="background1"/>
                <w:sz w:val="28"/>
                <w:szCs w:val="28"/>
              </w:rPr>
              <w:t>: Family Households</w:t>
            </w:r>
          </w:p>
        </w:tc>
      </w:tr>
      <w:tr w:rsidR="00370A52" w:rsidRPr="00F71D8E" w:rsidTr="00370A52">
        <w:trPr>
          <w:trHeight w:val="490"/>
        </w:trPr>
        <w:tc>
          <w:tcPr>
            <w:tcW w:w="708" w:type="dxa"/>
            <w:tcBorders>
              <w:top w:val="nil"/>
              <w:left w:val="nil"/>
              <w:bottom w:val="nil"/>
              <w:right w:val="nil"/>
            </w:tcBorders>
            <w:shd w:val="clear" w:color="000000" w:fill="CCCCCC"/>
            <w:noWrap/>
            <w:hideMark/>
          </w:tcPr>
          <w:p w:rsidR="00370A52" w:rsidRPr="00F71D8E" w:rsidRDefault="00370A52" w:rsidP="00370A52">
            <w:pPr>
              <w:spacing w:after="0" w:line="240" w:lineRule="auto"/>
              <w:jc w:val="left"/>
              <w:rPr>
                <w:rFonts w:eastAsia="Times New Roman" w:cs="Times New Roman"/>
              </w:rPr>
            </w:pPr>
            <w:r w:rsidRPr="00F71D8E">
              <w:rPr>
                <w:rFonts w:eastAsia="Times New Roman" w:cs="Times New Roman"/>
              </w:rPr>
              <w:t> </w:t>
            </w:r>
          </w:p>
        </w:tc>
        <w:tc>
          <w:tcPr>
            <w:tcW w:w="1406" w:type="dxa"/>
            <w:tcBorders>
              <w:top w:val="nil"/>
              <w:left w:val="nil"/>
              <w:bottom w:val="nil"/>
              <w:right w:val="nil"/>
            </w:tcBorders>
            <w:shd w:val="clear" w:color="000000" w:fill="CCCCCC"/>
            <w:noWrap/>
            <w:vAlign w:val="center"/>
            <w:hideMark/>
          </w:tcPr>
          <w:p w:rsidR="00370A52" w:rsidRPr="00F71D8E" w:rsidRDefault="00370A52" w:rsidP="00370A52">
            <w:pPr>
              <w:spacing w:after="0" w:line="240" w:lineRule="auto"/>
              <w:jc w:val="left"/>
              <w:rPr>
                <w:rFonts w:eastAsia="Times New Roman" w:cs="Times New Roman"/>
              </w:rPr>
            </w:pPr>
            <w:r w:rsidRPr="00F71D8E">
              <w:rPr>
                <w:rFonts w:eastAsia="Times New Roman" w:cs="Times New Roman"/>
              </w:rPr>
              <w:t>Family Households</w:t>
            </w:r>
          </w:p>
        </w:tc>
        <w:tc>
          <w:tcPr>
            <w:tcW w:w="1406" w:type="dxa"/>
            <w:tcBorders>
              <w:top w:val="nil"/>
              <w:left w:val="nil"/>
              <w:bottom w:val="nil"/>
              <w:right w:val="nil"/>
            </w:tcBorders>
            <w:shd w:val="clear" w:color="000000" w:fill="CCCCCC"/>
            <w:noWrap/>
            <w:vAlign w:val="center"/>
            <w:hideMark/>
          </w:tcPr>
          <w:p w:rsidR="00370A52" w:rsidRPr="00F71D8E" w:rsidRDefault="00422EC5" w:rsidP="00370A52">
            <w:pPr>
              <w:spacing w:after="0" w:line="240" w:lineRule="auto"/>
              <w:jc w:val="left"/>
              <w:rPr>
                <w:rFonts w:eastAsia="Times New Roman" w:cs="Times New Roman"/>
              </w:rPr>
            </w:pPr>
            <w:r>
              <w:rPr>
                <w:rFonts w:eastAsia="Times New Roman" w:cs="Times New Roman"/>
              </w:rPr>
              <w:t xml:space="preserve">Occupied </w:t>
            </w:r>
            <w:r w:rsidR="00370A52" w:rsidRPr="00F71D8E">
              <w:rPr>
                <w:rFonts w:eastAsia="Times New Roman" w:cs="Times New Roman"/>
              </w:rPr>
              <w:t>Households</w:t>
            </w:r>
          </w:p>
        </w:tc>
        <w:tc>
          <w:tcPr>
            <w:tcW w:w="1988" w:type="dxa"/>
            <w:tcBorders>
              <w:top w:val="nil"/>
              <w:left w:val="nil"/>
              <w:bottom w:val="nil"/>
              <w:right w:val="nil"/>
            </w:tcBorders>
            <w:shd w:val="clear" w:color="000000" w:fill="CCCCCC"/>
            <w:noWrap/>
            <w:vAlign w:val="center"/>
            <w:hideMark/>
          </w:tcPr>
          <w:p w:rsidR="00370A52" w:rsidRPr="00F71D8E" w:rsidRDefault="00370A52" w:rsidP="00370A52">
            <w:pPr>
              <w:spacing w:after="0" w:line="240" w:lineRule="auto"/>
              <w:jc w:val="left"/>
              <w:rPr>
                <w:rFonts w:eastAsia="Times New Roman" w:cs="Times New Roman"/>
              </w:rPr>
            </w:pPr>
            <w:r w:rsidRPr="00F71D8E">
              <w:rPr>
                <w:rFonts w:eastAsia="Times New Roman" w:cs="Times New Roman"/>
              </w:rPr>
              <w:t>Percentage Family</w:t>
            </w:r>
            <w:r>
              <w:rPr>
                <w:rFonts w:eastAsia="Times New Roman" w:cs="Times New Roman"/>
              </w:rPr>
              <w:t xml:space="preserve"> Households</w:t>
            </w:r>
          </w:p>
        </w:tc>
      </w:tr>
      <w:tr w:rsidR="00370A52" w:rsidRPr="00F71D8E" w:rsidTr="00370A52">
        <w:trPr>
          <w:trHeight w:val="471"/>
        </w:trPr>
        <w:tc>
          <w:tcPr>
            <w:tcW w:w="708" w:type="dxa"/>
            <w:tcBorders>
              <w:top w:val="nil"/>
              <w:left w:val="nil"/>
              <w:bottom w:val="nil"/>
              <w:right w:val="nil"/>
            </w:tcBorders>
            <w:shd w:val="clear" w:color="000000" w:fill="E6E6E6"/>
            <w:noWrap/>
            <w:vAlign w:val="center"/>
            <w:hideMark/>
          </w:tcPr>
          <w:p w:rsidR="00370A52" w:rsidRPr="00CF00FC" w:rsidRDefault="00370A52" w:rsidP="00370A52">
            <w:pPr>
              <w:spacing w:after="0" w:line="240" w:lineRule="auto"/>
              <w:jc w:val="right"/>
              <w:rPr>
                <w:rFonts w:eastAsia="Times New Roman" w:cs="Times New Roman"/>
                <w:bCs/>
              </w:rPr>
            </w:pPr>
            <w:r w:rsidRPr="00CF00FC">
              <w:rPr>
                <w:rFonts w:eastAsia="Times New Roman" w:cs="Times New Roman"/>
                <w:bCs/>
              </w:rPr>
              <w:t>1990</w:t>
            </w:r>
          </w:p>
        </w:tc>
        <w:tc>
          <w:tcPr>
            <w:tcW w:w="1406" w:type="dxa"/>
            <w:tcBorders>
              <w:top w:val="nil"/>
              <w:left w:val="nil"/>
              <w:bottom w:val="nil"/>
              <w:right w:val="nil"/>
            </w:tcBorders>
            <w:shd w:val="clear" w:color="000000" w:fill="E6E6E6"/>
            <w:noWrap/>
            <w:vAlign w:val="center"/>
            <w:hideMark/>
          </w:tcPr>
          <w:p w:rsidR="00370A52" w:rsidRPr="00CF00FC" w:rsidRDefault="00370A52" w:rsidP="00370A52">
            <w:pPr>
              <w:spacing w:after="0" w:line="240" w:lineRule="auto"/>
              <w:jc w:val="right"/>
              <w:rPr>
                <w:rFonts w:eastAsia="Times New Roman" w:cs="Times New Roman"/>
              </w:rPr>
            </w:pPr>
            <w:r w:rsidRPr="00CF00FC">
              <w:rPr>
                <w:rFonts w:eastAsia="Times New Roman" w:cs="Times New Roman"/>
              </w:rPr>
              <w:t>1848</w:t>
            </w:r>
          </w:p>
        </w:tc>
        <w:tc>
          <w:tcPr>
            <w:tcW w:w="1406" w:type="dxa"/>
            <w:tcBorders>
              <w:top w:val="nil"/>
              <w:left w:val="nil"/>
              <w:bottom w:val="nil"/>
              <w:right w:val="nil"/>
            </w:tcBorders>
            <w:shd w:val="clear" w:color="000000" w:fill="E6E6E6"/>
            <w:noWrap/>
            <w:vAlign w:val="center"/>
            <w:hideMark/>
          </w:tcPr>
          <w:p w:rsidR="00370A52" w:rsidRPr="00CF00FC" w:rsidRDefault="00422EC5" w:rsidP="00370A52">
            <w:pPr>
              <w:spacing w:after="0" w:line="240" w:lineRule="auto"/>
              <w:jc w:val="right"/>
              <w:rPr>
                <w:rFonts w:eastAsia="Times New Roman" w:cs="Times New Roman"/>
              </w:rPr>
            </w:pPr>
            <w:r>
              <w:rPr>
                <w:rFonts w:eastAsia="Times New Roman" w:cs="Times New Roman"/>
              </w:rPr>
              <w:t>2079</w:t>
            </w:r>
          </w:p>
        </w:tc>
        <w:tc>
          <w:tcPr>
            <w:tcW w:w="1988" w:type="dxa"/>
            <w:tcBorders>
              <w:top w:val="nil"/>
              <w:left w:val="nil"/>
              <w:bottom w:val="nil"/>
              <w:right w:val="nil"/>
            </w:tcBorders>
            <w:shd w:val="clear" w:color="000000" w:fill="E6E6E6"/>
            <w:noWrap/>
            <w:vAlign w:val="center"/>
            <w:hideMark/>
          </w:tcPr>
          <w:p w:rsidR="00370A52" w:rsidRPr="00CF00FC" w:rsidRDefault="00422EC5" w:rsidP="00370A52">
            <w:pPr>
              <w:spacing w:after="0" w:line="240" w:lineRule="auto"/>
              <w:jc w:val="right"/>
              <w:rPr>
                <w:rFonts w:eastAsia="Times New Roman" w:cs="Times New Roman"/>
              </w:rPr>
            </w:pPr>
            <w:r>
              <w:rPr>
                <w:rFonts w:eastAsia="Times New Roman" w:cs="Times New Roman"/>
              </w:rPr>
              <w:t>89</w:t>
            </w:r>
            <w:r w:rsidR="00370A52" w:rsidRPr="00CF00FC">
              <w:rPr>
                <w:rFonts w:eastAsia="Times New Roman" w:cs="Times New Roman"/>
              </w:rPr>
              <w:t>%</w:t>
            </w:r>
          </w:p>
        </w:tc>
      </w:tr>
      <w:tr w:rsidR="00370A52" w:rsidRPr="00F71D8E" w:rsidTr="00370A52">
        <w:trPr>
          <w:trHeight w:val="471"/>
        </w:trPr>
        <w:tc>
          <w:tcPr>
            <w:tcW w:w="708" w:type="dxa"/>
            <w:tcBorders>
              <w:top w:val="nil"/>
              <w:left w:val="nil"/>
              <w:bottom w:val="nil"/>
              <w:right w:val="nil"/>
            </w:tcBorders>
            <w:shd w:val="clear" w:color="000000" w:fill="BFBFBF"/>
            <w:noWrap/>
            <w:vAlign w:val="center"/>
            <w:hideMark/>
          </w:tcPr>
          <w:p w:rsidR="00370A52" w:rsidRPr="00CF00FC" w:rsidRDefault="00370A52" w:rsidP="00370A52">
            <w:pPr>
              <w:spacing w:after="0" w:line="240" w:lineRule="auto"/>
              <w:jc w:val="right"/>
              <w:rPr>
                <w:rFonts w:eastAsia="Times New Roman" w:cs="Times New Roman"/>
                <w:bCs/>
              </w:rPr>
            </w:pPr>
            <w:r w:rsidRPr="00CF00FC">
              <w:rPr>
                <w:rFonts w:eastAsia="Times New Roman" w:cs="Times New Roman"/>
                <w:bCs/>
              </w:rPr>
              <w:t>2000</w:t>
            </w:r>
          </w:p>
        </w:tc>
        <w:tc>
          <w:tcPr>
            <w:tcW w:w="1406" w:type="dxa"/>
            <w:tcBorders>
              <w:top w:val="nil"/>
              <w:left w:val="nil"/>
              <w:bottom w:val="nil"/>
              <w:right w:val="nil"/>
            </w:tcBorders>
            <w:shd w:val="clear" w:color="000000" w:fill="BFBFBF"/>
            <w:noWrap/>
            <w:vAlign w:val="center"/>
            <w:hideMark/>
          </w:tcPr>
          <w:p w:rsidR="00370A52" w:rsidRPr="00CF00FC" w:rsidRDefault="00370A52" w:rsidP="00370A52">
            <w:pPr>
              <w:spacing w:after="0" w:line="240" w:lineRule="auto"/>
              <w:jc w:val="right"/>
              <w:rPr>
                <w:rFonts w:eastAsia="Times New Roman" w:cs="Times New Roman"/>
              </w:rPr>
            </w:pPr>
            <w:r w:rsidRPr="00CF00FC">
              <w:rPr>
                <w:rFonts w:eastAsia="Times New Roman" w:cs="Times New Roman"/>
              </w:rPr>
              <w:t>1949</w:t>
            </w:r>
          </w:p>
        </w:tc>
        <w:tc>
          <w:tcPr>
            <w:tcW w:w="1406" w:type="dxa"/>
            <w:tcBorders>
              <w:top w:val="nil"/>
              <w:left w:val="nil"/>
              <w:bottom w:val="nil"/>
              <w:right w:val="nil"/>
            </w:tcBorders>
            <w:shd w:val="clear" w:color="000000" w:fill="BFBFBF"/>
            <w:noWrap/>
            <w:vAlign w:val="center"/>
            <w:hideMark/>
          </w:tcPr>
          <w:p w:rsidR="00370A52" w:rsidRPr="00CF00FC" w:rsidRDefault="00422EC5" w:rsidP="00370A52">
            <w:pPr>
              <w:spacing w:after="0" w:line="240" w:lineRule="auto"/>
              <w:jc w:val="right"/>
              <w:rPr>
                <w:rFonts w:eastAsia="Times New Roman" w:cs="Times New Roman"/>
              </w:rPr>
            </w:pPr>
            <w:r>
              <w:rPr>
                <w:rFonts w:eastAsia="Times New Roman" w:cs="Times New Roman"/>
              </w:rPr>
              <w:t>3379</w:t>
            </w:r>
          </w:p>
        </w:tc>
        <w:tc>
          <w:tcPr>
            <w:tcW w:w="1988" w:type="dxa"/>
            <w:tcBorders>
              <w:top w:val="nil"/>
              <w:left w:val="nil"/>
              <w:bottom w:val="nil"/>
              <w:right w:val="nil"/>
            </w:tcBorders>
            <w:shd w:val="clear" w:color="000000" w:fill="BFBFBF"/>
            <w:noWrap/>
            <w:vAlign w:val="center"/>
            <w:hideMark/>
          </w:tcPr>
          <w:p w:rsidR="00370A52" w:rsidRPr="00CF00FC" w:rsidRDefault="00422EC5" w:rsidP="00370A52">
            <w:pPr>
              <w:spacing w:after="0" w:line="240" w:lineRule="auto"/>
              <w:jc w:val="right"/>
              <w:rPr>
                <w:rFonts w:eastAsia="Times New Roman" w:cs="Times New Roman"/>
              </w:rPr>
            </w:pPr>
            <w:r>
              <w:rPr>
                <w:rFonts w:eastAsia="Times New Roman" w:cs="Times New Roman"/>
              </w:rPr>
              <w:t>58</w:t>
            </w:r>
            <w:r w:rsidR="00370A52" w:rsidRPr="00CF00FC">
              <w:rPr>
                <w:rFonts w:eastAsia="Times New Roman" w:cs="Times New Roman"/>
              </w:rPr>
              <w:t>%</w:t>
            </w:r>
          </w:p>
        </w:tc>
      </w:tr>
      <w:tr w:rsidR="00370A52" w:rsidRPr="00F71D8E" w:rsidTr="00370A52">
        <w:trPr>
          <w:trHeight w:val="471"/>
        </w:trPr>
        <w:tc>
          <w:tcPr>
            <w:tcW w:w="708" w:type="dxa"/>
            <w:tcBorders>
              <w:top w:val="nil"/>
              <w:left w:val="nil"/>
              <w:bottom w:val="nil"/>
              <w:right w:val="nil"/>
            </w:tcBorders>
            <w:shd w:val="clear" w:color="000000" w:fill="E6E6E6"/>
            <w:noWrap/>
            <w:vAlign w:val="center"/>
            <w:hideMark/>
          </w:tcPr>
          <w:p w:rsidR="00370A52" w:rsidRPr="00CF00FC" w:rsidRDefault="00370A52" w:rsidP="00370A52">
            <w:pPr>
              <w:spacing w:after="0" w:line="240" w:lineRule="auto"/>
              <w:jc w:val="right"/>
              <w:rPr>
                <w:rFonts w:eastAsia="Times New Roman" w:cs="Times New Roman"/>
                <w:bCs/>
              </w:rPr>
            </w:pPr>
            <w:r w:rsidRPr="00CF00FC">
              <w:rPr>
                <w:rFonts w:eastAsia="Times New Roman" w:cs="Times New Roman"/>
                <w:bCs/>
              </w:rPr>
              <w:t>2010</w:t>
            </w:r>
          </w:p>
        </w:tc>
        <w:tc>
          <w:tcPr>
            <w:tcW w:w="1406" w:type="dxa"/>
            <w:tcBorders>
              <w:top w:val="nil"/>
              <w:left w:val="nil"/>
              <w:bottom w:val="nil"/>
              <w:right w:val="nil"/>
            </w:tcBorders>
            <w:shd w:val="clear" w:color="000000" w:fill="E6E6E6"/>
            <w:noWrap/>
            <w:vAlign w:val="center"/>
            <w:hideMark/>
          </w:tcPr>
          <w:p w:rsidR="00370A52" w:rsidRPr="00CF00FC" w:rsidRDefault="00370A52" w:rsidP="00370A52">
            <w:pPr>
              <w:spacing w:after="0" w:line="240" w:lineRule="auto"/>
              <w:jc w:val="right"/>
              <w:rPr>
                <w:rFonts w:eastAsia="Times New Roman" w:cs="Times New Roman"/>
              </w:rPr>
            </w:pPr>
            <w:r w:rsidRPr="00CF00FC">
              <w:rPr>
                <w:rFonts w:eastAsia="Times New Roman" w:cs="Times New Roman"/>
              </w:rPr>
              <w:t>2219</w:t>
            </w:r>
          </w:p>
        </w:tc>
        <w:tc>
          <w:tcPr>
            <w:tcW w:w="1406" w:type="dxa"/>
            <w:tcBorders>
              <w:top w:val="nil"/>
              <w:left w:val="nil"/>
              <w:bottom w:val="nil"/>
              <w:right w:val="nil"/>
            </w:tcBorders>
            <w:shd w:val="clear" w:color="000000" w:fill="E6E6E6"/>
            <w:noWrap/>
            <w:vAlign w:val="center"/>
            <w:hideMark/>
          </w:tcPr>
          <w:p w:rsidR="00370A52" w:rsidRPr="00CF00FC" w:rsidRDefault="00422EC5" w:rsidP="00370A52">
            <w:pPr>
              <w:spacing w:after="0" w:line="240" w:lineRule="auto"/>
              <w:jc w:val="right"/>
              <w:rPr>
                <w:rFonts w:eastAsia="Times New Roman" w:cs="Times New Roman"/>
              </w:rPr>
            </w:pPr>
            <w:r>
              <w:rPr>
                <w:rFonts w:eastAsia="Times New Roman" w:cs="Times New Roman"/>
              </w:rPr>
              <w:t>3857</w:t>
            </w:r>
          </w:p>
        </w:tc>
        <w:tc>
          <w:tcPr>
            <w:tcW w:w="1988" w:type="dxa"/>
            <w:tcBorders>
              <w:top w:val="nil"/>
              <w:left w:val="nil"/>
              <w:bottom w:val="nil"/>
              <w:right w:val="nil"/>
            </w:tcBorders>
            <w:shd w:val="clear" w:color="000000" w:fill="E6E6E6"/>
            <w:noWrap/>
            <w:vAlign w:val="center"/>
            <w:hideMark/>
          </w:tcPr>
          <w:p w:rsidR="00370A52" w:rsidRPr="00CF00FC" w:rsidRDefault="00422EC5" w:rsidP="00370A52">
            <w:pPr>
              <w:spacing w:after="0" w:line="240" w:lineRule="auto"/>
              <w:jc w:val="right"/>
              <w:rPr>
                <w:rFonts w:eastAsia="Times New Roman" w:cs="Times New Roman"/>
              </w:rPr>
            </w:pPr>
            <w:r>
              <w:rPr>
                <w:rFonts w:eastAsia="Times New Roman" w:cs="Times New Roman"/>
              </w:rPr>
              <w:t>58</w:t>
            </w:r>
            <w:r w:rsidR="00370A52" w:rsidRPr="00CF00FC">
              <w:rPr>
                <w:rFonts w:eastAsia="Times New Roman" w:cs="Times New Roman"/>
              </w:rPr>
              <w:t>%</w:t>
            </w:r>
          </w:p>
        </w:tc>
      </w:tr>
      <w:tr w:rsidR="00370A52" w:rsidRPr="00F71D8E" w:rsidTr="00370A52">
        <w:trPr>
          <w:trHeight w:val="377"/>
        </w:trPr>
        <w:tc>
          <w:tcPr>
            <w:tcW w:w="5508" w:type="dxa"/>
            <w:gridSpan w:val="4"/>
            <w:tcBorders>
              <w:top w:val="nil"/>
              <w:left w:val="nil"/>
              <w:bottom w:val="nil"/>
              <w:right w:val="nil"/>
            </w:tcBorders>
            <w:shd w:val="clear" w:color="auto" w:fill="auto"/>
            <w:noWrap/>
            <w:vAlign w:val="center"/>
            <w:hideMark/>
          </w:tcPr>
          <w:p w:rsidR="00370A52" w:rsidRPr="00F71D8E" w:rsidRDefault="00370A52" w:rsidP="00370A52">
            <w:pPr>
              <w:spacing w:after="0" w:line="240" w:lineRule="auto"/>
              <w:jc w:val="right"/>
              <w:rPr>
                <w:rFonts w:eastAsia="Times New Roman" w:cs="Times New Roman"/>
                <w:bCs/>
                <w:sz w:val="16"/>
                <w:szCs w:val="16"/>
              </w:rPr>
            </w:pPr>
            <w:r w:rsidRPr="005C65E3">
              <w:rPr>
                <w:rFonts w:eastAsia="Times New Roman" w:cs="Times New Roman"/>
                <w:bCs/>
                <w:sz w:val="16"/>
                <w:szCs w:val="16"/>
              </w:rPr>
              <w:t xml:space="preserve">Source: </w:t>
            </w:r>
            <w:r w:rsidR="004A036D" w:rsidRPr="005C65E3">
              <w:rPr>
                <w:rFonts w:eastAsia="Times New Roman" w:cs="Times New Roman"/>
                <w:bCs/>
                <w:sz w:val="16"/>
                <w:szCs w:val="16"/>
              </w:rPr>
              <w:t>U.S. Census Bu</w:t>
            </w:r>
            <w:r w:rsidR="004A036D">
              <w:rPr>
                <w:rFonts w:eastAsia="Times New Roman" w:cs="Times New Roman"/>
                <w:bCs/>
                <w:sz w:val="16"/>
                <w:szCs w:val="16"/>
              </w:rPr>
              <w:t>reau</w:t>
            </w:r>
          </w:p>
        </w:tc>
      </w:tr>
    </w:tbl>
    <w:p w:rsidR="00F71D8E" w:rsidRPr="00E860D8" w:rsidRDefault="00F71D8E" w:rsidP="00370A52">
      <w:pPr>
        <w:ind w:left="-720" w:right="5400"/>
      </w:pPr>
      <w:r w:rsidRPr="00E860D8">
        <w:t xml:space="preserve">There has been an observable change in family households in the study period between 1990 and 2010. </w:t>
      </w:r>
      <w:r w:rsidR="0007668C">
        <w:t>T</w:t>
      </w:r>
      <w:r w:rsidR="00920F81">
        <w:t xml:space="preserve">he </w:t>
      </w:r>
      <w:r w:rsidR="0007668C">
        <w:t xml:space="preserve">total </w:t>
      </w:r>
      <w:r w:rsidR="00920F81">
        <w:t>number of</w:t>
      </w:r>
      <w:r w:rsidR="00E860D8" w:rsidRPr="00E860D8">
        <w:t xml:space="preserve"> </w:t>
      </w:r>
      <w:r w:rsidR="00422EC5">
        <w:t xml:space="preserve">occupied </w:t>
      </w:r>
      <w:r w:rsidR="00E860D8" w:rsidRPr="00E860D8">
        <w:t xml:space="preserve">households </w:t>
      </w:r>
      <w:r w:rsidR="0007668C">
        <w:t xml:space="preserve">in Newmarket </w:t>
      </w:r>
      <w:r w:rsidR="00E860D8" w:rsidRPr="00E860D8">
        <w:t xml:space="preserve">increased </w:t>
      </w:r>
      <w:r w:rsidR="00920F81">
        <w:t xml:space="preserve">from </w:t>
      </w:r>
      <w:r w:rsidR="00422EC5">
        <w:t>2,079</w:t>
      </w:r>
      <w:r w:rsidR="00920F81">
        <w:t xml:space="preserve"> to </w:t>
      </w:r>
      <w:r w:rsidR="00422EC5">
        <w:t>3,857</w:t>
      </w:r>
      <w:r w:rsidR="00920F81">
        <w:t xml:space="preserve"> between 1990 and 2010</w:t>
      </w:r>
      <w:r w:rsidR="0007668C">
        <w:t xml:space="preserve">. However, </w:t>
      </w:r>
      <w:r w:rsidR="00920F81">
        <w:t>1990 figures indicate</w:t>
      </w:r>
      <w:r w:rsidR="0007668C">
        <w:t>d</w:t>
      </w:r>
      <w:r w:rsidR="00920F81">
        <w:t xml:space="preserve"> that </w:t>
      </w:r>
      <w:r w:rsidR="0007668C">
        <w:t>of those</w:t>
      </w:r>
      <w:r w:rsidR="0007668C" w:rsidRPr="00E860D8">
        <w:t xml:space="preserve"> </w:t>
      </w:r>
      <w:r w:rsidR="00422EC5">
        <w:t>89</w:t>
      </w:r>
      <w:r w:rsidRPr="00E860D8">
        <w:t xml:space="preserve">% </w:t>
      </w:r>
      <w:proofErr w:type="gramStart"/>
      <w:r w:rsidRPr="00E860D8">
        <w:t>were self-identified</w:t>
      </w:r>
      <w:proofErr w:type="gramEnd"/>
      <w:r w:rsidRPr="00E860D8">
        <w:t xml:space="preserve"> as family households. Twenty years later, </w:t>
      </w:r>
      <w:r w:rsidR="0007668C">
        <w:t xml:space="preserve">the </w:t>
      </w:r>
      <w:r w:rsidRPr="00E860D8">
        <w:t>2010 Census reveal</w:t>
      </w:r>
      <w:r w:rsidR="0007668C">
        <w:t>ed</w:t>
      </w:r>
      <w:r w:rsidRPr="00E860D8">
        <w:t xml:space="preserve"> that only </w:t>
      </w:r>
      <w:r w:rsidR="00E860D8" w:rsidRPr="00E860D8">
        <w:t>5</w:t>
      </w:r>
      <w:r w:rsidR="00422EC5">
        <w:t>8</w:t>
      </w:r>
      <w:r w:rsidRPr="00E860D8">
        <w:t xml:space="preserve">% of total households </w:t>
      </w:r>
      <w:proofErr w:type="gramStart"/>
      <w:r w:rsidR="0007668C">
        <w:t>were</w:t>
      </w:r>
      <w:r w:rsidRPr="00E860D8">
        <w:t xml:space="preserve"> </w:t>
      </w:r>
      <w:r w:rsidR="003601D6">
        <w:t>classified</w:t>
      </w:r>
      <w:proofErr w:type="gramEnd"/>
      <w:r w:rsidR="003601D6">
        <w:t xml:space="preserve"> as</w:t>
      </w:r>
      <w:r w:rsidRPr="00E860D8">
        <w:t xml:space="preserve"> ‘family’.  This </w:t>
      </w:r>
      <w:r w:rsidR="0007668C">
        <w:t>change</w:t>
      </w:r>
      <w:r w:rsidR="00E860D8" w:rsidRPr="00E860D8">
        <w:t xml:space="preserve"> in family household composition</w:t>
      </w:r>
      <w:r w:rsidRPr="00E860D8">
        <w:t xml:space="preserve"> during the study period </w:t>
      </w:r>
      <w:r w:rsidR="0007668C">
        <w:t>reflects</w:t>
      </w:r>
      <w:r w:rsidRPr="00E860D8">
        <w:t xml:space="preserve"> the larger trend of population loss in the 25-44 age cohorts, those that traditionally represent family-age individuals.</w:t>
      </w:r>
      <w:r w:rsidR="00E860D8" w:rsidRPr="00E860D8">
        <w:t xml:space="preserve"> </w:t>
      </w:r>
    </w:p>
    <w:p w:rsidR="00021F54" w:rsidRDefault="00021F54" w:rsidP="008C5C53">
      <w:pPr>
        <w:pStyle w:val="Heading2"/>
      </w:pPr>
    </w:p>
    <w:p w:rsidR="009E47C7" w:rsidRPr="00F71D8E" w:rsidRDefault="009E47C7" w:rsidP="008C5C53">
      <w:pPr>
        <w:pStyle w:val="Heading2"/>
        <w:rPr>
          <w:sz w:val="18"/>
          <w:szCs w:val="18"/>
        </w:rPr>
      </w:pPr>
      <w:bookmarkStart w:id="21" w:name="_Toc427316509"/>
      <w:r w:rsidRPr="009128E4">
        <w:t>Household Size</w:t>
      </w:r>
      <w:bookmarkEnd w:id="21"/>
    </w:p>
    <w:tbl>
      <w:tblPr>
        <w:tblpPr w:leftFromText="180" w:rightFromText="180" w:vertAnchor="page" w:horzAnchor="margin" w:tblpXSpec="center" w:tblpY="10043"/>
        <w:tblW w:w="10434" w:type="dxa"/>
        <w:tblLook w:val="04A0" w:firstRow="1" w:lastRow="0" w:firstColumn="1" w:lastColumn="0" w:noHBand="0" w:noVBand="1"/>
      </w:tblPr>
      <w:tblGrid>
        <w:gridCol w:w="1368"/>
        <w:gridCol w:w="1073"/>
        <w:gridCol w:w="1250"/>
        <w:gridCol w:w="1075"/>
        <w:gridCol w:w="1162"/>
        <w:gridCol w:w="1150"/>
        <w:gridCol w:w="1174"/>
        <w:gridCol w:w="1252"/>
        <w:gridCol w:w="930"/>
      </w:tblGrid>
      <w:tr w:rsidR="00021F54" w:rsidRPr="00546909" w:rsidTr="0081382C">
        <w:trPr>
          <w:trHeight w:val="446"/>
        </w:trPr>
        <w:tc>
          <w:tcPr>
            <w:tcW w:w="10434" w:type="dxa"/>
            <w:gridSpan w:val="9"/>
            <w:tcBorders>
              <w:top w:val="nil"/>
              <w:left w:val="nil"/>
              <w:bottom w:val="single" w:sz="12" w:space="0" w:color="FFFFFF"/>
              <w:right w:val="nil"/>
            </w:tcBorders>
            <w:shd w:val="clear" w:color="000000" w:fill="9E3A38"/>
            <w:vAlign w:val="center"/>
            <w:hideMark/>
          </w:tcPr>
          <w:p w:rsidR="00021F54" w:rsidRPr="0041537D" w:rsidRDefault="00021F54" w:rsidP="001B6562">
            <w:pPr>
              <w:spacing w:after="0" w:line="240" w:lineRule="auto"/>
              <w:jc w:val="left"/>
              <w:rPr>
                <w:rFonts w:eastAsia="Times New Roman" w:cs="Times New Roman"/>
                <w:bCs/>
                <w:sz w:val="28"/>
                <w:szCs w:val="28"/>
              </w:rPr>
            </w:pPr>
            <w:r w:rsidRPr="0041537D">
              <w:rPr>
                <w:rFonts w:eastAsia="Times New Roman" w:cs="Times New Roman"/>
                <w:bCs/>
                <w:color w:val="FFFFFF" w:themeColor="background1"/>
                <w:sz w:val="28"/>
                <w:szCs w:val="28"/>
              </w:rPr>
              <w:t xml:space="preserve">Table </w:t>
            </w:r>
            <w:r w:rsidR="001B6562">
              <w:rPr>
                <w:rFonts w:eastAsia="Times New Roman" w:cs="Times New Roman"/>
                <w:bCs/>
                <w:color w:val="FFFFFF" w:themeColor="background1"/>
                <w:sz w:val="28"/>
                <w:szCs w:val="28"/>
              </w:rPr>
              <w:t>7</w:t>
            </w:r>
            <w:r w:rsidRPr="0041537D">
              <w:rPr>
                <w:rFonts w:eastAsia="Times New Roman" w:cs="Times New Roman"/>
                <w:bCs/>
                <w:color w:val="FFFFFF" w:themeColor="background1"/>
                <w:sz w:val="28"/>
                <w:szCs w:val="28"/>
              </w:rPr>
              <w:t>: Household Size</w:t>
            </w:r>
          </w:p>
        </w:tc>
      </w:tr>
      <w:tr w:rsidR="00021F54" w:rsidRPr="00546909" w:rsidTr="0081382C">
        <w:trPr>
          <w:trHeight w:val="540"/>
        </w:trPr>
        <w:tc>
          <w:tcPr>
            <w:tcW w:w="1368" w:type="dxa"/>
            <w:tcBorders>
              <w:top w:val="nil"/>
              <w:left w:val="nil"/>
              <w:bottom w:val="nil"/>
              <w:right w:val="nil"/>
            </w:tcBorders>
            <w:shd w:val="clear" w:color="000000" w:fill="CCCCCC"/>
            <w:hideMark/>
          </w:tcPr>
          <w:p w:rsidR="00021F54" w:rsidRPr="00264558" w:rsidRDefault="00021F54" w:rsidP="0081382C">
            <w:pPr>
              <w:spacing w:after="0" w:line="240" w:lineRule="auto"/>
              <w:jc w:val="left"/>
              <w:rPr>
                <w:rFonts w:eastAsia="Times New Roman" w:cs="Times New Roman"/>
              </w:rPr>
            </w:pPr>
            <w:r w:rsidRPr="00264558">
              <w:rPr>
                <w:rFonts w:eastAsia="Times New Roman" w:cs="Times New Roman"/>
              </w:rPr>
              <w:t> </w:t>
            </w:r>
          </w:p>
        </w:tc>
        <w:tc>
          <w:tcPr>
            <w:tcW w:w="1073"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1-Person</w:t>
            </w:r>
          </w:p>
        </w:tc>
        <w:tc>
          <w:tcPr>
            <w:tcW w:w="12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2-Person</w:t>
            </w:r>
          </w:p>
        </w:tc>
        <w:tc>
          <w:tcPr>
            <w:tcW w:w="1075"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3-Person</w:t>
            </w:r>
          </w:p>
        </w:tc>
        <w:tc>
          <w:tcPr>
            <w:tcW w:w="116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4-Person</w:t>
            </w:r>
          </w:p>
        </w:tc>
        <w:tc>
          <w:tcPr>
            <w:tcW w:w="11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5-Person</w:t>
            </w:r>
          </w:p>
        </w:tc>
        <w:tc>
          <w:tcPr>
            <w:tcW w:w="1174"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6-Person</w:t>
            </w:r>
          </w:p>
        </w:tc>
        <w:tc>
          <w:tcPr>
            <w:tcW w:w="125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7-Person+</w:t>
            </w:r>
          </w:p>
        </w:tc>
        <w:tc>
          <w:tcPr>
            <w:tcW w:w="93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rPr>
            </w:pPr>
            <w:r w:rsidRPr="00264558">
              <w:rPr>
                <w:rFonts w:eastAsia="Times New Roman" w:cs="Times New Roman"/>
                <w:b/>
              </w:rPr>
              <w:t>Total</w:t>
            </w:r>
          </w:p>
        </w:tc>
      </w:tr>
      <w:tr w:rsidR="00021F54" w:rsidRPr="00546909" w:rsidTr="0081382C">
        <w:trPr>
          <w:trHeight w:val="229"/>
        </w:trPr>
        <w:tc>
          <w:tcPr>
            <w:tcW w:w="10434" w:type="dxa"/>
            <w:gridSpan w:val="9"/>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b/>
                <w:bCs/>
              </w:rPr>
            </w:pPr>
            <w:r w:rsidRPr="00264558">
              <w:rPr>
                <w:rFonts w:eastAsia="Times New Roman" w:cs="Times New Roman"/>
                <w:b/>
                <w:bCs/>
              </w:rPr>
              <w:t>Total Occupied Units</w:t>
            </w:r>
          </w:p>
        </w:tc>
      </w:tr>
      <w:tr w:rsidR="00021F54" w:rsidRPr="00546909" w:rsidTr="0081382C">
        <w:trPr>
          <w:trHeight w:val="229"/>
        </w:trPr>
        <w:tc>
          <w:tcPr>
            <w:tcW w:w="1368"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bCs/>
              </w:rPr>
            </w:pPr>
            <w:r w:rsidRPr="00264558">
              <w:rPr>
                <w:rFonts w:eastAsia="Times New Roman" w:cs="Times New Roman"/>
                <w:b/>
                <w:bCs/>
              </w:rPr>
              <w:t>2010</w:t>
            </w:r>
          </w:p>
        </w:tc>
        <w:tc>
          <w:tcPr>
            <w:tcW w:w="1073"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1068</w:t>
            </w:r>
          </w:p>
        </w:tc>
        <w:tc>
          <w:tcPr>
            <w:tcW w:w="12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1450</w:t>
            </w:r>
          </w:p>
        </w:tc>
        <w:tc>
          <w:tcPr>
            <w:tcW w:w="1075"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683</w:t>
            </w:r>
          </w:p>
        </w:tc>
        <w:tc>
          <w:tcPr>
            <w:tcW w:w="116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451</w:t>
            </w:r>
          </w:p>
        </w:tc>
        <w:tc>
          <w:tcPr>
            <w:tcW w:w="11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144</w:t>
            </w:r>
          </w:p>
        </w:tc>
        <w:tc>
          <w:tcPr>
            <w:tcW w:w="1174"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38</w:t>
            </w:r>
          </w:p>
        </w:tc>
        <w:tc>
          <w:tcPr>
            <w:tcW w:w="125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23</w:t>
            </w:r>
          </w:p>
        </w:tc>
        <w:tc>
          <w:tcPr>
            <w:tcW w:w="93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3857</w:t>
            </w:r>
          </w:p>
        </w:tc>
      </w:tr>
      <w:tr w:rsidR="00021F54" w:rsidRPr="00546909" w:rsidTr="0081382C">
        <w:trPr>
          <w:trHeight w:val="229"/>
        </w:trPr>
        <w:tc>
          <w:tcPr>
            <w:tcW w:w="1368"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left"/>
              <w:rPr>
                <w:rFonts w:eastAsia="Times New Roman" w:cs="Times New Roman"/>
                <w:b/>
                <w:bCs/>
              </w:rPr>
            </w:pPr>
            <w:r w:rsidRPr="00264558">
              <w:rPr>
                <w:rFonts w:eastAsia="Times New Roman" w:cs="Times New Roman"/>
                <w:b/>
                <w:bCs/>
              </w:rPr>
              <w:t>2000</w:t>
            </w:r>
          </w:p>
        </w:tc>
        <w:tc>
          <w:tcPr>
            <w:tcW w:w="1073"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929</w:t>
            </w:r>
          </w:p>
        </w:tc>
        <w:tc>
          <w:tcPr>
            <w:tcW w:w="1250"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1230</w:t>
            </w:r>
          </w:p>
        </w:tc>
        <w:tc>
          <w:tcPr>
            <w:tcW w:w="1075"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564</w:t>
            </w:r>
          </w:p>
        </w:tc>
        <w:tc>
          <w:tcPr>
            <w:tcW w:w="1162"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435</w:t>
            </w:r>
          </w:p>
        </w:tc>
        <w:tc>
          <w:tcPr>
            <w:tcW w:w="1150"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178</w:t>
            </w:r>
          </w:p>
        </w:tc>
        <w:tc>
          <w:tcPr>
            <w:tcW w:w="1174"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30</w:t>
            </w:r>
          </w:p>
        </w:tc>
        <w:tc>
          <w:tcPr>
            <w:tcW w:w="1252"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13</w:t>
            </w:r>
          </w:p>
        </w:tc>
        <w:tc>
          <w:tcPr>
            <w:tcW w:w="930" w:type="dxa"/>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3379</w:t>
            </w:r>
          </w:p>
        </w:tc>
      </w:tr>
      <w:tr w:rsidR="00021F54" w:rsidRPr="00546909" w:rsidTr="0081382C">
        <w:trPr>
          <w:trHeight w:val="229"/>
        </w:trPr>
        <w:tc>
          <w:tcPr>
            <w:tcW w:w="1368"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left"/>
              <w:rPr>
                <w:rFonts w:eastAsia="Times New Roman" w:cs="Times New Roman"/>
                <w:b/>
                <w:bCs/>
              </w:rPr>
            </w:pPr>
            <w:r w:rsidRPr="00264558">
              <w:rPr>
                <w:rFonts w:eastAsia="Times New Roman" w:cs="Times New Roman"/>
                <w:b/>
                <w:bCs/>
              </w:rPr>
              <w:t>1990</w:t>
            </w:r>
          </w:p>
        </w:tc>
        <w:tc>
          <w:tcPr>
            <w:tcW w:w="1073"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682</w:t>
            </w:r>
          </w:p>
        </w:tc>
        <w:tc>
          <w:tcPr>
            <w:tcW w:w="12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1044</w:t>
            </w:r>
          </w:p>
        </w:tc>
        <w:tc>
          <w:tcPr>
            <w:tcW w:w="1075"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553</w:t>
            </w:r>
          </w:p>
        </w:tc>
        <w:tc>
          <w:tcPr>
            <w:tcW w:w="116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423</w:t>
            </w:r>
          </w:p>
        </w:tc>
        <w:tc>
          <w:tcPr>
            <w:tcW w:w="11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157</w:t>
            </w:r>
          </w:p>
        </w:tc>
        <w:tc>
          <w:tcPr>
            <w:tcW w:w="1174"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29</w:t>
            </w:r>
          </w:p>
        </w:tc>
        <w:tc>
          <w:tcPr>
            <w:tcW w:w="125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10</w:t>
            </w:r>
          </w:p>
        </w:tc>
        <w:tc>
          <w:tcPr>
            <w:tcW w:w="93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2898</w:t>
            </w:r>
          </w:p>
        </w:tc>
      </w:tr>
      <w:tr w:rsidR="00021F54" w:rsidRPr="00546909" w:rsidTr="0081382C">
        <w:trPr>
          <w:trHeight w:val="229"/>
        </w:trPr>
        <w:tc>
          <w:tcPr>
            <w:tcW w:w="1368" w:type="dxa"/>
            <w:tcBorders>
              <w:top w:val="nil"/>
              <w:left w:val="nil"/>
              <w:bottom w:val="nil"/>
              <w:right w:val="nil"/>
            </w:tcBorders>
            <w:shd w:val="clear" w:color="000000" w:fill="E6E6E6"/>
            <w:hideMark/>
          </w:tcPr>
          <w:p w:rsidR="00021F54" w:rsidRPr="00264558" w:rsidRDefault="00021F54" w:rsidP="0081382C">
            <w:pPr>
              <w:spacing w:after="0" w:line="240" w:lineRule="auto"/>
              <w:jc w:val="left"/>
              <w:rPr>
                <w:rFonts w:eastAsia="Times New Roman" w:cs="Times New Roman"/>
              </w:rPr>
            </w:pPr>
            <w:r w:rsidRPr="00264558">
              <w:rPr>
                <w:rFonts w:eastAsia="Times New Roman" w:cs="Times New Roman"/>
              </w:rPr>
              <w:t> </w:t>
            </w:r>
          </w:p>
        </w:tc>
        <w:tc>
          <w:tcPr>
            <w:tcW w:w="9066" w:type="dxa"/>
            <w:gridSpan w:val="8"/>
            <w:tcBorders>
              <w:top w:val="nil"/>
              <w:left w:val="nil"/>
              <w:bottom w:val="nil"/>
              <w:right w:val="nil"/>
            </w:tcBorders>
            <w:shd w:val="clear" w:color="000000" w:fill="E6E6E6"/>
            <w:vAlign w:val="center"/>
            <w:hideMark/>
          </w:tcPr>
          <w:p w:rsidR="00021F54" w:rsidRPr="00264558" w:rsidRDefault="00021F54" w:rsidP="0081382C">
            <w:pPr>
              <w:spacing w:after="0" w:line="240" w:lineRule="auto"/>
              <w:jc w:val="center"/>
              <w:rPr>
                <w:rFonts w:eastAsia="Times New Roman" w:cs="Times New Roman"/>
                <w:b/>
              </w:rPr>
            </w:pPr>
            <w:r w:rsidRPr="00264558">
              <w:rPr>
                <w:rFonts w:eastAsia="Times New Roman" w:cs="Times New Roman"/>
                <w:b/>
              </w:rPr>
              <w:t>2010 Total Occupied Unit Composition</w:t>
            </w:r>
          </w:p>
        </w:tc>
      </w:tr>
      <w:tr w:rsidR="00021F54" w:rsidRPr="00546909" w:rsidTr="0081382C">
        <w:trPr>
          <w:trHeight w:val="199"/>
        </w:trPr>
        <w:tc>
          <w:tcPr>
            <w:tcW w:w="1368" w:type="dxa"/>
            <w:tcBorders>
              <w:top w:val="nil"/>
              <w:left w:val="nil"/>
              <w:bottom w:val="nil"/>
              <w:right w:val="nil"/>
            </w:tcBorders>
            <w:shd w:val="clear" w:color="000000" w:fill="CCCCCC"/>
            <w:hideMark/>
          </w:tcPr>
          <w:p w:rsidR="00021F54" w:rsidRPr="00264558" w:rsidRDefault="00021F54" w:rsidP="0081382C">
            <w:pPr>
              <w:spacing w:after="0" w:line="240" w:lineRule="auto"/>
              <w:jc w:val="left"/>
              <w:rPr>
                <w:rFonts w:eastAsia="Times New Roman" w:cs="Times New Roman"/>
              </w:rPr>
            </w:pPr>
            <w:r w:rsidRPr="00264558">
              <w:rPr>
                <w:rFonts w:eastAsia="Times New Roman" w:cs="Times New Roman"/>
              </w:rPr>
              <w:t> </w:t>
            </w:r>
          </w:p>
        </w:tc>
        <w:tc>
          <w:tcPr>
            <w:tcW w:w="1073"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28%</w:t>
            </w:r>
          </w:p>
        </w:tc>
        <w:tc>
          <w:tcPr>
            <w:tcW w:w="12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38%</w:t>
            </w:r>
          </w:p>
        </w:tc>
        <w:tc>
          <w:tcPr>
            <w:tcW w:w="1075"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18%</w:t>
            </w:r>
          </w:p>
        </w:tc>
        <w:tc>
          <w:tcPr>
            <w:tcW w:w="116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12%</w:t>
            </w:r>
          </w:p>
        </w:tc>
        <w:tc>
          <w:tcPr>
            <w:tcW w:w="115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4%</w:t>
            </w:r>
          </w:p>
        </w:tc>
        <w:tc>
          <w:tcPr>
            <w:tcW w:w="1174"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w:t>
            </w:r>
          </w:p>
        </w:tc>
        <w:tc>
          <w:tcPr>
            <w:tcW w:w="1252"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w:t>
            </w:r>
          </w:p>
        </w:tc>
        <w:tc>
          <w:tcPr>
            <w:tcW w:w="930" w:type="dxa"/>
            <w:tcBorders>
              <w:top w:val="nil"/>
              <w:left w:val="nil"/>
              <w:bottom w:val="nil"/>
              <w:right w:val="nil"/>
            </w:tcBorders>
            <w:shd w:val="clear" w:color="000000" w:fill="CCCCCC"/>
            <w:vAlign w:val="center"/>
            <w:hideMark/>
          </w:tcPr>
          <w:p w:rsidR="00021F54" w:rsidRPr="00264558" w:rsidRDefault="00021F54" w:rsidP="0081382C">
            <w:pPr>
              <w:spacing w:after="0" w:line="240" w:lineRule="auto"/>
              <w:jc w:val="center"/>
              <w:rPr>
                <w:rFonts w:eastAsia="Times New Roman" w:cs="Times New Roman"/>
              </w:rPr>
            </w:pPr>
            <w:r w:rsidRPr="00264558">
              <w:rPr>
                <w:rFonts w:eastAsia="Times New Roman" w:cs="Times New Roman"/>
              </w:rPr>
              <w:t>100%</w:t>
            </w:r>
          </w:p>
        </w:tc>
      </w:tr>
      <w:tr w:rsidR="00021F54" w:rsidRPr="00546909" w:rsidTr="0081382C">
        <w:trPr>
          <w:trHeight w:val="199"/>
        </w:trPr>
        <w:tc>
          <w:tcPr>
            <w:tcW w:w="10434" w:type="dxa"/>
            <w:gridSpan w:val="9"/>
            <w:tcBorders>
              <w:top w:val="nil"/>
              <w:left w:val="nil"/>
              <w:bottom w:val="nil"/>
              <w:right w:val="nil"/>
            </w:tcBorders>
            <w:shd w:val="clear" w:color="auto" w:fill="auto"/>
            <w:vAlign w:val="bottom"/>
            <w:hideMark/>
          </w:tcPr>
          <w:p w:rsidR="00021F54" w:rsidRPr="0041537D" w:rsidRDefault="00021F54" w:rsidP="0081382C">
            <w:pPr>
              <w:spacing w:after="0" w:line="240" w:lineRule="auto"/>
              <w:jc w:val="right"/>
              <w:rPr>
                <w:rFonts w:eastAsia="Times New Roman" w:cs="Times New Roman"/>
                <w:sz w:val="16"/>
                <w:szCs w:val="16"/>
              </w:rPr>
            </w:pPr>
            <w:r>
              <w:rPr>
                <w:rFonts w:eastAsia="Times New Roman" w:cs="Times New Roman"/>
                <w:sz w:val="16"/>
                <w:szCs w:val="16"/>
              </w:rPr>
              <w:t xml:space="preserve">Source: </w:t>
            </w:r>
            <w:r w:rsidR="004A036D">
              <w:rPr>
                <w:rFonts w:eastAsia="Times New Roman" w:cs="Times New Roman"/>
                <w:sz w:val="16"/>
                <w:szCs w:val="16"/>
              </w:rPr>
              <w:t>U.S. Census Bureau</w:t>
            </w:r>
          </w:p>
        </w:tc>
      </w:tr>
    </w:tbl>
    <w:p w:rsidR="00D82BDA" w:rsidRPr="0016783C" w:rsidRDefault="005E4D76" w:rsidP="00C6180F">
      <w:pPr>
        <w:ind w:left="-720" w:right="-720"/>
        <w:rPr>
          <w:color w:val="FF0000"/>
        </w:rPr>
      </w:pPr>
      <w:r>
        <w:t>Household size calculations</w:t>
      </w:r>
      <w:r w:rsidR="000A551C" w:rsidRPr="000E72C5">
        <w:t xml:space="preserve"> from 1990 to 2010 indicate, in concert with population statistics, that </w:t>
      </w:r>
      <w:r w:rsidR="000E72C5" w:rsidRPr="000E72C5">
        <w:t>Newmarket</w:t>
      </w:r>
      <w:r w:rsidR="000A551C" w:rsidRPr="000E72C5">
        <w:t xml:space="preserve"> has experienced a </w:t>
      </w:r>
      <w:r>
        <w:t>shift</w:t>
      </w:r>
      <w:r w:rsidR="000A551C" w:rsidRPr="000E72C5">
        <w:t xml:space="preserve"> in </w:t>
      </w:r>
      <w:r>
        <w:t xml:space="preserve">housing formation </w:t>
      </w:r>
      <w:r w:rsidR="000A551C" w:rsidRPr="000E72C5">
        <w:t xml:space="preserve">moving towards </w:t>
      </w:r>
      <w:r w:rsidR="003646B8" w:rsidRPr="000E72C5">
        <w:t xml:space="preserve">smaller households, with fewer children </w:t>
      </w:r>
      <w:r>
        <w:t xml:space="preserve">in-home </w:t>
      </w:r>
      <w:r w:rsidR="003646B8" w:rsidRPr="000E72C5">
        <w:t xml:space="preserve">as baby-boom generation individuals </w:t>
      </w:r>
      <w:r w:rsidR="000E72C5" w:rsidRPr="000E72C5">
        <w:t>become ‘empty-nesters’</w:t>
      </w:r>
      <w:r w:rsidR="000A551C" w:rsidRPr="000E72C5">
        <w:t>. While</w:t>
      </w:r>
      <w:r w:rsidR="0081382C">
        <w:t xml:space="preserve"> the Town</w:t>
      </w:r>
      <w:r w:rsidR="000A551C" w:rsidRPr="000E72C5">
        <w:t xml:space="preserve"> experienc</w:t>
      </w:r>
      <w:r w:rsidR="0081382C">
        <w:t>ed</w:t>
      </w:r>
      <w:r w:rsidR="000A551C" w:rsidRPr="000E72C5">
        <w:t xml:space="preserve"> </w:t>
      </w:r>
      <w:r w:rsidR="003646B8" w:rsidRPr="000E72C5">
        <w:t>57</w:t>
      </w:r>
      <w:r w:rsidR="000A551C" w:rsidRPr="000E72C5">
        <w:t xml:space="preserve">% and </w:t>
      </w:r>
      <w:r w:rsidR="003646B8" w:rsidRPr="000E72C5">
        <w:t>39</w:t>
      </w:r>
      <w:r w:rsidR="000A551C" w:rsidRPr="000E72C5">
        <w:t xml:space="preserve">% growth in 1 and 2 person households respectively between 1990 and 2010, </w:t>
      </w:r>
      <w:r w:rsidR="003646B8" w:rsidRPr="000E72C5">
        <w:t>a minimal growth of 24</w:t>
      </w:r>
      <w:r w:rsidR="000A551C" w:rsidRPr="000E72C5">
        <w:t xml:space="preserve">% and </w:t>
      </w:r>
      <w:r w:rsidR="000E72C5" w:rsidRPr="000E72C5">
        <w:t>7</w:t>
      </w:r>
      <w:r w:rsidR="000A551C" w:rsidRPr="000E72C5">
        <w:t xml:space="preserve">% growth in 3-Person and 4-Person households </w:t>
      </w:r>
      <w:r>
        <w:t xml:space="preserve">was observed </w:t>
      </w:r>
      <w:r w:rsidR="000A551C" w:rsidRPr="000E72C5">
        <w:t>(those typ</w:t>
      </w:r>
      <w:r w:rsidR="00D82BDA" w:rsidRPr="000E72C5">
        <w:t>ically indicative of families).</w:t>
      </w:r>
      <w:r w:rsidR="000E72C5">
        <w:t xml:space="preserve"> As of</w:t>
      </w:r>
      <w:r w:rsidR="00BF282C">
        <w:t xml:space="preserve"> 2010, Newmarket’s owner/renter-</w:t>
      </w:r>
      <w:r w:rsidR="000E72C5">
        <w:t>occupied unit composition indicates a concentration (65% of all units) of one and two-be</w:t>
      </w:r>
      <w:r w:rsidR="0081382C">
        <w:t xml:space="preserve">droom units. Interestingly, </w:t>
      </w:r>
      <w:r w:rsidR="000E72C5">
        <w:t>1990, 2000, and 2010 Census</w:t>
      </w:r>
      <w:r w:rsidR="0081382C">
        <w:t xml:space="preserve"> data shows</w:t>
      </w:r>
      <w:r w:rsidR="000E72C5">
        <w:t>, this concentration was relatively static, a trend that is unique to Newmarket in the region.</w:t>
      </w:r>
    </w:p>
    <w:p w:rsidR="00021F54" w:rsidRDefault="00021F54" w:rsidP="008C5C53">
      <w:pPr>
        <w:pStyle w:val="Heading2"/>
      </w:pPr>
    </w:p>
    <w:p w:rsidR="00D7480F" w:rsidRDefault="00D7480F">
      <w:pPr>
        <w:jc w:val="left"/>
        <w:rPr>
          <w:rFonts w:eastAsiaTheme="majorEastAsia" w:cstheme="majorBidi"/>
          <w:b/>
          <w:bCs/>
          <w:color w:val="4A442A" w:themeColor="background2" w:themeShade="40"/>
          <w:sz w:val="26"/>
          <w:szCs w:val="26"/>
        </w:rPr>
      </w:pPr>
      <w:r>
        <w:br w:type="page"/>
      </w:r>
    </w:p>
    <w:p w:rsidR="009E47C7" w:rsidRPr="009128E4" w:rsidRDefault="009E47C7" w:rsidP="008C5C53">
      <w:pPr>
        <w:pStyle w:val="Heading2"/>
      </w:pPr>
      <w:bookmarkStart w:id="22" w:name="_Toc427316510"/>
      <w:r w:rsidRPr="009128E4">
        <w:lastRenderedPageBreak/>
        <w:t>Housing Unit Vacancy</w:t>
      </w:r>
      <w:bookmarkEnd w:id="22"/>
    </w:p>
    <w:p w:rsidR="00243A96" w:rsidRPr="0016783C" w:rsidRDefault="00243A96" w:rsidP="00C6180F">
      <w:pPr>
        <w:ind w:left="-720" w:right="-720"/>
        <w:rPr>
          <w:color w:val="FF0000"/>
        </w:rPr>
      </w:pPr>
      <w:r w:rsidRPr="0016783C">
        <w:t xml:space="preserve">The Town has exhibited variable housing unit vacancy numbers, dropping from </w:t>
      </w:r>
      <w:r w:rsidR="00F035DE" w:rsidRPr="0016783C">
        <w:t>387</w:t>
      </w:r>
      <w:r w:rsidRPr="0016783C">
        <w:t xml:space="preserve"> vacant units in 1990, to only </w:t>
      </w:r>
      <w:r w:rsidR="00F035DE" w:rsidRPr="0016783C">
        <w:t>78</w:t>
      </w:r>
      <w:r w:rsidRPr="0016783C">
        <w:t xml:space="preserve"> units</w:t>
      </w:r>
      <w:r w:rsidR="0046063D">
        <w:t xml:space="preserve"> in 2010</w:t>
      </w:r>
      <w:r w:rsidRPr="0016783C">
        <w:t xml:space="preserve">, a </w:t>
      </w:r>
      <w:r w:rsidR="00F035DE" w:rsidRPr="0016783C">
        <w:t>496</w:t>
      </w:r>
      <w:r w:rsidRPr="0016783C">
        <w:t>% decline</w:t>
      </w:r>
      <w:r w:rsidR="00F035DE" w:rsidRPr="0016783C">
        <w:t xml:space="preserve"> (a result of vacancy classification changes)</w:t>
      </w:r>
      <w:r w:rsidRPr="0016783C">
        <w:t>. In the years between 2000 and 2010</w:t>
      </w:r>
      <w:r w:rsidR="00F035DE" w:rsidRPr="0016783C">
        <w:t>, which included</w:t>
      </w:r>
      <w:r w:rsidRPr="0016783C">
        <w:t xml:space="preserve"> the economic crisis</w:t>
      </w:r>
      <w:r w:rsidR="0046063D">
        <w:t xml:space="preserve"> of the mid-late 2000’s, vacant unit counts</w:t>
      </w:r>
      <w:r w:rsidRPr="0016783C">
        <w:t xml:space="preserve"> </w:t>
      </w:r>
      <w:r w:rsidR="0046063D">
        <w:t>increased</w:t>
      </w:r>
      <w:r w:rsidRPr="0016783C">
        <w:t xml:space="preserve"> by </w:t>
      </w:r>
      <w:r w:rsidR="00F035DE" w:rsidRPr="0016783C">
        <w:t>262</w:t>
      </w:r>
      <w:r w:rsidR="0046063D">
        <w:t>%. During the</w:t>
      </w:r>
      <w:r w:rsidR="00F035DE" w:rsidRPr="0016783C">
        <w:t xml:space="preserve"> decade, all vacancy classifications</w:t>
      </w:r>
      <w:r w:rsidR="0046063D">
        <w:t xml:space="preserve"> increased</w:t>
      </w:r>
      <w:r w:rsidR="00F035DE" w:rsidRPr="0016783C">
        <w:t xml:space="preserve">, </w:t>
      </w:r>
      <w:r w:rsidR="0046063D">
        <w:t xml:space="preserve">with the </w:t>
      </w:r>
      <w:r w:rsidR="00F035DE" w:rsidRPr="0016783C">
        <w:t>largest percentage increase</w:t>
      </w:r>
      <w:r w:rsidR="0046063D">
        <w:t xml:space="preserve"> occurring in “For Sale” units.</w:t>
      </w:r>
    </w:p>
    <w:tbl>
      <w:tblPr>
        <w:tblStyle w:val="ColorfulList"/>
        <w:tblW w:w="10414" w:type="dxa"/>
        <w:tblInd w:w="-612" w:type="dxa"/>
        <w:tblLook w:val="04A0" w:firstRow="1" w:lastRow="0" w:firstColumn="1" w:lastColumn="0" w:noHBand="0" w:noVBand="1"/>
      </w:tblPr>
      <w:tblGrid>
        <w:gridCol w:w="709"/>
        <w:gridCol w:w="1335"/>
        <w:gridCol w:w="1080"/>
        <w:gridCol w:w="960"/>
        <w:gridCol w:w="960"/>
        <w:gridCol w:w="1616"/>
        <w:gridCol w:w="1234"/>
        <w:gridCol w:w="1194"/>
        <w:gridCol w:w="1326"/>
      </w:tblGrid>
      <w:tr w:rsidR="0041537D" w:rsidRPr="008C7D7E" w:rsidTr="003A724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414" w:type="dxa"/>
            <w:gridSpan w:val="9"/>
            <w:noWrap/>
            <w:vAlign w:val="center"/>
            <w:hideMark/>
          </w:tcPr>
          <w:p w:rsidR="0041537D" w:rsidRPr="008C7D7E" w:rsidRDefault="0041537D" w:rsidP="001B6562">
            <w:pPr>
              <w:jc w:val="left"/>
              <w:rPr>
                <w:rFonts w:eastAsia="Times New Roman" w:cs="Times New Roman"/>
                <w:b w:val="0"/>
                <w:color w:val="000000"/>
                <w:sz w:val="28"/>
                <w:szCs w:val="28"/>
              </w:rPr>
            </w:pPr>
            <w:r w:rsidRPr="008C7D7E">
              <w:rPr>
                <w:rFonts w:eastAsia="Times New Roman" w:cs="Times New Roman"/>
                <w:b w:val="0"/>
                <w:sz w:val="28"/>
                <w:szCs w:val="28"/>
              </w:rPr>
              <w:t xml:space="preserve">Table </w:t>
            </w:r>
            <w:r w:rsidR="001B6562">
              <w:rPr>
                <w:rFonts w:eastAsia="Times New Roman" w:cs="Times New Roman"/>
                <w:b w:val="0"/>
                <w:sz w:val="28"/>
                <w:szCs w:val="28"/>
              </w:rPr>
              <w:t>8</w:t>
            </w:r>
            <w:r w:rsidRPr="008C7D7E">
              <w:rPr>
                <w:rFonts w:eastAsia="Times New Roman" w:cs="Times New Roman"/>
                <w:b w:val="0"/>
                <w:sz w:val="28"/>
                <w:szCs w:val="28"/>
              </w:rPr>
              <w:t>: Housing Unit Vacancy by Type</w:t>
            </w:r>
          </w:p>
        </w:tc>
      </w:tr>
      <w:tr w:rsidR="0041537D" w:rsidRPr="008C7D7E" w:rsidTr="00415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rsidR="0041537D" w:rsidRPr="00264558" w:rsidRDefault="0041537D" w:rsidP="008C7D7E">
            <w:pPr>
              <w:jc w:val="left"/>
              <w:rPr>
                <w:rFonts w:eastAsia="Times New Roman" w:cs="Times New Roman"/>
                <w:color w:val="000000"/>
              </w:rPr>
            </w:pPr>
          </w:p>
        </w:tc>
        <w:tc>
          <w:tcPr>
            <w:tcW w:w="1335" w:type="dxa"/>
            <w:noWrap/>
            <w:hideMark/>
          </w:tcPr>
          <w:p w:rsidR="0041537D" w:rsidRPr="00264558" w:rsidRDefault="0041537D" w:rsidP="008C7D7E">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8370" w:type="dxa"/>
            <w:gridSpan w:val="7"/>
            <w:noWrap/>
            <w:hideMark/>
          </w:tcPr>
          <w:p w:rsidR="0041537D" w:rsidRPr="00264558" w:rsidRDefault="0041537D" w:rsidP="004153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264558">
              <w:rPr>
                <w:rFonts w:eastAsia="Times New Roman" w:cs="Times New Roman"/>
                <w:b/>
                <w:color w:val="000000"/>
              </w:rPr>
              <w:t>Vacancy Type</w:t>
            </w:r>
          </w:p>
        </w:tc>
      </w:tr>
      <w:tr w:rsidR="008C7D7E" w:rsidRPr="008C7D7E" w:rsidTr="0041537D">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rsidR="008C7D7E" w:rsidRPr="00264558" w:rsidRDefault="008C7D7E" w:rsidP="008C7D7E">
            <w:pPr>
              <w:jc w:val="left"/>
              <w:rPr>
                <w:rFonts w:eastAsia="Times New Roman" w:cs="Times New Roman"/>
                <w:color w:val="000000"/>
              </w:rPr>
            </w:pPr>
          </w:p>
        </w:tc>
        <w:tc>
          <w:tcPr>
            <w:tcW w:w="1335"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Total Housing Units</w:t>
            </w:r>
          </w:p>
        </w:tc>
        <w:tc>
          <w:tcPr>
            <w:tcW w:w="1080"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Vacant Housing Units</w:t>
            </w:r>
          </w:p>
        </w:tc>
        <w:tc>
          <w:tcPr>
            <w:tcW w:w="960"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For Rent</w:t>
            </w:r>
          </w:p>
        </w:tc>
        <w:tc>
          <w:tcPr>
            <w:tcW w:w="960"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For Sale</w:t>
            </w:r>
          </w:p>
        </w:tc>
        <w:tc>
          <w:tcPr>
            <w:tcW w:w="1616"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For seasonal, recreational, or occasional use</w:t>
            </w:r>
          </w:p>
        </w:tc>
        <w:tc>
          <w:tcPr>
            <w:tcW w:w="1234"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For migratory workers</w:t>
            </w:r>
          </w:p>
        </w:tc>
        <w:tc>
          <w:tcPr>
            <w:tcW w:w="1194"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Other vacant</w:t>
            </w:r>
          </w:p>
        </w:tc>
        <w:tc>
          <w:tcPr>
            <w:tcW w:w="1326" w:type="dxa"/>
            <w:noWrap/>
            <w:hideMark/>
          </w:tcPr>
          <w:p w:rsidR="008C7D7E" w:rsidRPr="00264558" w:rsidRDefault="008C7D7E" w:rsidP="008C7D7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Rented or sold, not occupied</w:t>
            </w:r>
          </w:p>
        </w:tc>
      </w:tr>
      <w:tr w:rsidR="008C7D7E" w:rsidRPr="008C7D7E" w:rsidTr="00415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rsidR="008C7D7E" w:rsidRPr="00264558" w:rsidRDefault="008C7D7E" w:rsidP="008C7D7E">
            <w:pPr>
              <w:jc w:val="right"/>
              <w:rPr>
                <w:rFonts w:eastAsia="Times New Roman" w:cs="Times New Roman"/>
                <w:color w:val="000000"/>
              </w:rPr>
            </w:pPr>
            <w:r w:rsidRPr="00264558">
              <w:rPr>
                <w:rFonts w:eastAsia="Times New Roman" w:cs="Times New Roman"/>
                <w:color w:val="000000"/>
              </w:rPr>
              <w:t>2010</w:t>
            </w:r>
          </w:p>
        </w:tc>
        <w:tc>
          <w:tcPr>
            <w:tcW w:w="1335"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4139</w:t>
            </w:r>
          </w:p>
        </w:tc>
        <w:tc>
          <w:tcPr>
            <w:tcW w:w="1080"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282</w:t>
            </w:r>
          </w:p>
        </w:tc>
        <w:tc>
          <w:tcPr>
            <w:tcW w:w="960"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150</w:t>
            </w:r>
          </w:p>
        </w:tc>
        <w:tc>
          <w:tcPr>
            <w:tcW w:w="960"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41</w:t>
            </w:r>
          </w:p>
        </w:tc>
        <w:tc>
          <w:tcPr>
            <w:tcW w:w="1616"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28</w:t>
            </w:r>
          </w:p>
        </w:tc>
        <w:tc>
          <w:tcPr>
            <w:tcW w:w="1234"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0</w:t>
            </w:r>
          </w:p>
        </w:tc>
        <w:tc>
          <w:tcPr>
            <w:tcW w:w="1194"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47</w:t>
            </w:r>
          </w:p>
        </w:tc>
        <w:tc>
          <w:tcPr>
            <w:tcW w:w="1326"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16</w:t>
            </w:r>
          </w:p>
        </w:tc>
      </w:tr>
      <w:tr w:rsidR="008C7D7E" w:rsidRPr="008C7D7E" w:rsidTr="0041537D">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rsidR="008C7D7E" w:rsidRPr="00264558" w:rsidRDefault="008C7D7E" w:rsidP="008C7D7E">
            <w:pPr>
              <w:jc w:val="right"/>
              <w:rPr>
                <w:rFonts w:eastAsia="Times New Roman" w:cs="Times New Roman"/>
                <w:color w:val="000000"/>
              </w:rPr>
            </w:pPr>
            <w:r w:rsidRPr="00264558">
              <w:rPr>
                <w:rFonts w:eastAsia="Times New Roman" w:cs="Times New Roman"/>
                <w:color w:val="000000"/>
              </w:rPr>
              <w:t>2000</w:t>
            </w:r>
          </w:p>
        </w:tc>
        <w:tc>
          <w:tcPr>
            <w:tcW w:w="1335"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3457</w:t>
            </w:r>
          </w:p>
        </w:tc>
        <w:tc>
          <w:tcPr>
            <w:tcW w:w="1080"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78</w:t>
            </w:r>
          </w:p>
        </w:tc>
        <w:tc>
          <w:tcPr>
            <w:tcW w:w="960"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30</w:t>
            </w:r>
          </w:p>
        </w:tc>
        <w:tc>
          <w:tcPr>
            <w:tcW w:w="960"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6</w:t>
            </w:r>
          </w:p>
        </w:tc>
        <w:tc>
          <w:tcPr>
            <w:tcW w:w="1616"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20</w:t>
            </w:r>
          </w:p>
        </w:tc>
        <w:tc>
          <w:tcPr>
            <w:tcW w:w="1234"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0</w:t>
            </w:r>
          </w:p>
        </w:tc>
        <w:tc>
          <w:tcPr>
            <w:tcW w:w="1194"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17</w:t>
            </w:r>
          </w:p>
        </w:tc>
        <w:tc>
          <w:tcPr>
            <w:tcW w:w="1326" w:type="dxa"/>
            <w:noWrap/>
            <w:hideMark/>
          </w:tcPr>
          <w:p w:rsidR="008C7D7E" w:rsidRPr="00264558" w:rsidRDefault="008C7D7E" w:rsidP="008C7D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5</w:t>
            </w:r>
          </w:p>
        </w:tc>
      </w:tr>
      <w:tr w:rsidR="008C7D7E" w:rsidRPr="008C7D7E" w:rsidTr="00415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rsidR="008C7D7E" w:rsidRPr="00264558" w:rsidRDefault="008C7D7E" w:rsidP="008C7D7E">
            <w:pPr>
              <w:jc w:val="right"/>
              <w:rPr>
                <w:rFonts w:eastAsia="Times New Roman" w:cs="Times New Roman"/>
                <w:color w:val="000000"/>
              </w:rPr>
            </w:pPr>
            <w:r w:rsidRPr="00264558">
              <w:rPr>
                <w:rFonts w:eastAsia="Times New Roman" w:cs="Times New Roman"/>
                <w:color w:val="000000"/>
              </w:rPr>
              <w:t>1990</w:t>
            </w:r>
          </w:p>
        </w:tc>
        <w:tc>
          <w:tcPr>
            <w:tcW w:w="1335"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2400</w:t>
            </w:r>
          </w:p>
        </w:tc>
        <w:tc>
          <w:tcPr>
            <w:tcW w:w="1080"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387</w:t>
            </w:r>
          </w:p>
        </w:tc>
        <w:tc>
          <w:tcPr>
            <w:tcW w:w="960"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299</w:t>
            </w:r>
          </w:p>
        </w:tc>
        <w:tc>
          <w:tcPr>
            <w:tcW w:w="960"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45</w:t>
            </w:r>
          </w:p>
        </w:tc>
        <w:tc>
          <w:tcPr>
            <w:tcW w:w="1616"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8</w:t>
            </w:r>
          </w:p>
        </w:tc>
        <w:tc>
          <w:tcPr>
            <w:tcW w:w="1234"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0</w:t>
            </w:r>
          </w:p>
        </w:tc>
        <w:tc>
          <w:tcPr>
            <w:tcW w:w="1194"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26</w:t>
            </w:r>
          </w:p>
        </w:tc>
        <w:tc>
          <w:tcPr>
            <w:tcW w:w="1326" w:type="dxa"/>
            <w:noWrap/>
            <w:hideMark/>
          </w:tcPr>
          <w:p w:rsidR="008C7D7E" w:rsidRPr="00264558" w:rsidRDefault="008C7D7E" w:rsidP="008C7D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264558">
              <w:rPr>
                <w:rFonts w:eastAsia="Times New Roman" w:cs="Times New Roman"/>
                <w:color w:val="000000"/>
              </w:rPr>
              <w:t>9</w:t>
            </w:r>
          </w:p>
        </w:tc>
      </w:tr>
      <w:tr w:rsidR="008C7D7E" w:rsidRPr="008C7D7E" w:rsidTr="003A724B">
        <w:trPr>
          <w:trHeight w:val="300"/>
        </w:trPr>
        <w:tc>
          <w:tcPr>
            <w:cnfStyle w:val="001000000000" w:firstRow="0" w:lastRow="0" w:firstColumn="1" w:lastColumn="0" w:oddVBand="0" w:evenVBand="0" w:oddHBand="0" w:evenHBand="0" w:firstRowFirstColumn="0" w:firstRowLastColumn="0" w:lastRowFirstColumn="0" w:lastRowLastColumn="0"/>
            <w:tcW w:w="10414" w:type="dxa"/>
            <w:gridSpan w:val="9"/>
            <w:shd w:val="clear" w:color="auto" w:fill="auto"/>
            <w:noWrap/>
            <w:hideMark/>
          </w:tcPr>
          <w:p w:rsidR="008C7D7E" w:rsidRPr="008C7D7E" w:rsidRDefault="008C7D7E" w:rsidP="008C7D7E">
            <w:pPr>
              <w:jc w:val="right"/>
              <w:rPr>
                <w:rFonts w:eastAsia="Times New Roman" w:cs="Times New Roman"/>
                <w:b w:val="0"/>
                <w:color w:val="000000"/>
                <w:sz w:val="16"/>
                <w:szCs w:val="16"/>
              </w:rPr>
            </w:pPr>
            <w:r w:rsidRPr="008C7D7E">
              <w:rPr>
                <w:rFonts w:eastAsia="Times New Roman" w:cs="Times New Roman"/>
                <w:b w:val="0"/>
                <w:color w:val="000000"/>
                <w:sz w:val="16"/>
                <w:szCs w:val="16"/>
              </w:rPr>
              <w:t xml:space="preserve">Source: </w:t>
            </w:r>
            <w:r w:rsidR="004A036D">
              <w:rPr>
                <w:rFonts w:eastAsia="Times New Roman" w:cs="Times New Roman"/>
                <w:b w:val="0"/>
                <w:color w:val="000000"/>
                <w:sz w:val="16"/>
                <w:szCs w:val="16"/>
              </w:rPr>
              <w:t>U.S. Census Bureau</w:t>
            </w:r>
          </w:p>
        </w:tc>
      </w:tr>
    </w:tbl>
    <w:p w:rsidR="009E47C7" w:rsidRPr="009128E4" w:rsidRDefault="009E47C7" w:rsidP="008C5C53">
      <w:pPr>
        <w:pStyle w:val="Heading2"/>
      </w:pPr>
      <w:bookmarkStart w:id="23" w:name="_Toc427316511"/>
      <w:r w:rsidRPr="009128E4">
        <w:t>Building Permits</w:t>
      </w:r>
      <w:bookmarkEnd w:id="23"/>
    </w:p>
    <w:p w:rsidR="003859C8" w:rsidRPr="005F622B" w:rsidRDefault="00021F54" w:rsidP="00C6180F">
      <w:pPr>
        <w:ind w:left="-720" w:right="-720"/>
      </w:pPr>
      <w:r w:rsidRPr="005F622B">
        <w:rPr>
          <w:noProof/>
        </w:rPr>
        <w:drawing>
          <wp:anchor distT="0" distB="0" distL="114300" distR="114300" simplePos="0" relativeHeight="251680768" behindDoc="0" locked="0" layoutInCell="1" allowOverlap="1" wp14:anchorId="0ED189EC" wp14:editId="17A4E400">
            <wp:simplePos x="0" y="0"/>
            <wp:positionH relativeFrom="column">
              <wp:posOffset>-382905</wp:posOffset>
            </wp:positionH>
            <wp:positionV relativeFrom="paragraph">
              <wp:posOffset>1386205</wp:posOffset>
            </wp:positionV>
            <wp:extent cx="6783070" cy="3019425"/>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3859C8" w:rsidRPr="005F622B">
        <w:t>In the past 1</w:t>
      </w:r>
      <w:r w:rsidR="00C97661" w:rsidRPr="005F622B">
        <w:t>3</w:t>
      </w:r>
      <w:r w:rsidR="003859C8" w:rsidRPr="005F622B">
        <w:t xml:space="preserve"> years, </w:t>
      </w:r>
      <w:r w:rsidR="00C97661" w:rsidRPr="005F622B">
        <w:t>Newmarket</w:t>
      </w:r>
      <w:r w:rsidR="003859C8" w:rsidRPr="005F622B">
        <w:t xml:space="preserve"> has experienced variable </w:t>
      </w:r>
      <w:r w:rsidR="00F035DE" w:rsidRPr="005F622B">
        <w:t>residential</w:t>
      </w:r>
      <w:r w:rsidR="003859C8" w:rsidRPr="005F622B">
        <w:t xml:space="preserve"> construction. </w:t>
      </w:r>
      <w:r w:rsidR="00F035DE" w:rsidRPr="005F622B">
        <w:t>New Hampshire Office of Energy and Planning</w:t>
      </w:r>
      <w:r w:rsidR="003859C8" w:rsidRPr="005F622B">
        <w:t xml:space="preserve"> building permit</w:t>
      </w:r>
      <w:r w:rsidR="005F622B">
        <w:t xml:space="preserve"> data</w:t>
      </w:r>
      <w:r w:rsidR="003859C8" w:rsidRPr="005F622B">
        <w:t xml:space="preserve"> </w:t>
      </w:r>
      <w:r w:rsidR="00F035DE" w:rsidRPr="005F622B">
        <w:t xml:space="preserve">(reported by the Town of Newmarket) </w:t>
      </w:r>
      <w:r w:rsidR="006B27CF" w:rsidRPr="005F622B">
        <w:t xml:space="preserve">show </w:t>
      </w:r>
      <w:proofErr w:type="gramStart"/>
      <w:r w:rsidR="006B27CF" w:rsidRPr="005F622B">
        <w:t>a total of 724</w:t>
      </w:r>
      <w:proofErr w:type="gramEnd"/>
      <w:r w:rsidR="006B27CF" w:rsidRPr="005F622B">
        <w:t xml:space="preserve"> total residential units constructed between 2000 and 2006. In comparison, the period between 2007 and 2013 </w:t>
      </w:r>
      <w:r w:rsidR="005F622B">
        <w:t xml:space="preserve">saw the construction of a mere </w:t>
      </w:r>
      <w:r w:rsidR="006B27CF" w:rsidRPr="005F622B">
        <w:t>138</w:t>
      </w:r>
      <w:r w:rsidR="00C756F5">
        <w:t xml:space="preserve"> </w:t>
      </w:r>
      <w:r w:rsidR="006B27CF" w:rsidRPr="005F622B">
        <w:t>units, many of which were part of the mill redevelopment project in the downtown area</w:t>
      </w:r>
      <w:r w:rsidR="005F622B">
        <w:t xml:space="preserve"> (permitted in 2012)</w:t>
      </w:r>
      <w:r w:rsidR="006B27CF" w:rsidRPr="005F622B">
        <w:t>. This decline in construction was largely the product of market conditions during the recession of the mid-late 2000’s</w:t>
      </w:r>
      <w:r w:rsidR="005F622B">
        <w:t xml:space="preserve"> and the accompanying </w:t>
      </w:r>
      <w:r w:rsidR="006B27CF" w:rsidRPr="005F622B">
        <w:t>high unemployment</w:t>
      </w:r>
      <w:r w:rsidR="0081382C">
        <w:t xml:space="preserve"> rates</w:t>
      </w:r>
      <w:r w:rsidR="006B27CF" w:rsidRPr="005F622B">
        <w:t>, layoffs, and a real-estate ‘crash’.</w:t>
      </w:r>
    </w:p>
    <w:p w:rsidR="001250D6" w:rsidRPr="009128E4" w:rsidRDefault="001250D6" w:rsidP="008C5C53">
      <w:pPr>
        <w:pStyle w:val="Heading2"/>
        <w:sectPr w:rsidR="001250D6" w:rsidRPr="009128E4" w:rsidSect="00AE456A">
          <w:type w:val="continuous"/>
          <w:pgSz w:w="12240" w:h="15840"/>
          <w:pgMar w:top="1440" w:right="1440" w:bottom="1440" w:left="1440" w:header="180" w:footer="720" w:gutter="0"/>
          <w:cols w:space="720"/>
          <w:docGrid w:linePitch="360"/>
        </w:sectPr>
      </w:pPr>
    </w:p>
    <w:tbl>
      <w:tblPr>
        <w:tblStyle w:val="ColorfulList"/>
        <w:tblpPr w:leftFromText="180" w:rightFromText="180" w:vertAnchor="text" w:horzAnchor="page" w:tblpX="10576" w:tblpY="185"/>
        <w:tblW w:w="4878" w:type="dxa"/>
        <w:tblLook w:val="04A0" w:firstRow="1" w:lastRow="0" w:firstColumn="1" w:lastColumn="0" w:noHBand="0" w:noVBand="1"/>
      </w:tblPr>
      <w:tblGrid>
        <w:gridCol w:w="2898"/>
        <w:gridCol w:w="1980"/>
      </w:tblGrid>
      <w:tr w:rsidR="00183121" w:rsidRPr="00546909" w:rsidTr="0018312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878" w:type="dxa"/>
            <w:gridSpan w:val="2"/>
            <w:noWrap/>
            <w:vAlign w:val="center"/>
          </w:tcPr>
          <w:p w:rsidR="00183121" w:rsidRPr="00BE6F32" w:rsidRDefault="00183121" w:rsidP="001B6562">
            <w:pPr>
              <w:jc w:val="left"/>
              <w:rPr>
                <w:rFonts w:eastAsia="Times New Roman" w:cs="Times New Roman"/>
                <w:b w:val="0"/>
                <w:color w:val="000000"/>
                <w:sz w:val="28"/>
                <w:szCs w:val="28"/>
              </w:rPr>
            </w:pPr>
            <w:r w:rsidRPr="00BE6F32">
              <w:rPr>
                <w:rFonts w:eastAsia="Times New Roman" w:cs="Times New Roman"/>
                <w:b w:val="0"/>
                <w:sz w:val="28"/>
                <w:szCs w:val="28"/>
              </w:rPr>
              <w:lastRenderedPageBreak/>
              <w:t xml:space="preserve">Table </w:t>
            </w:r>
            <w:r w:rsidR="001B6562">
              <w:rPr>
                <w:rFonts w:eastAsia="Times New Roman" w:cs="Times New Roman"/>
                <w:b w:val="0"/>
                <w:sz w:val="28"/>
                <w:szCs w:val="28"/>
              </w:rPr>
              <w:t>9</w:t>
            </w:r>
            <w:r w:rsidRPr="00BE6F32">
              <w:rPr>
                <w:rFonts w:eastAsia="Times New Roman" w:cs="Times New Roman"/>
                <w:b w:val="0"/>
                <w:sz w:val="28"/>
                <w:szCs w:val="28"/>
              </w:rPr>
              <w:t>: Base Residential Statistics</w:t>
            </w:r>
          </w:p>
        </w:tc>
      </w:tr>
      <w:tr w:rsidR="00183121" w:rsidRPr="00546909" w:rsidTr="00183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noWrap/>
            <w:hideMark/>
          </w:tcPr>
          <w:p w:rsidR="00183121" w:rsidRPr="0044421C" w:rsidRDefault="00183121" w:rsidP="00183121">
            <w:pPr>
              <w:jc w:val="left"/>
              <w:rPr>
                <w:rFonts w:eastAsia="Times New Roman" w:cs="Times New Roman"/>
                <w:b w:val="0"/>
                <w:color w:val="000000"/>
              </w:rPr>
            </w:pPr>
            <w:r w:rsidRPr="0044421C">
              <w:rPr>
                <w:rFonts w:eastAsia="Times New Roman" w:cs="Times New Roman"/>
                <w:b w:val="0"/>
                <w:color w:val="000000"/>
              </w:rPr>
              <w:t>Median Parcel Value</w:t>
            </w:r>
          </w:p>
        </w:tc>
        <w:tc>
          <w:tcPr>
            <w:tcW w:w="1980" w:type="dxa"/>
            <w:noWrap/>
            <w:hideMark/>
          </w:tcPr>
          <w:p w:rsidR="00183121" w:rsidRPr="00BE6F32" w:rsidRDefault="00183121" w:rsidP="0018312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E6F32">
              <w:rPr>
                <w:rFonts w:eastAsia="Times New Roman" w:cs="Times New Roman"/>
                <w:color w:val="000000"/>
              </w:rPr>
              <w:t>$253,558</w:t>
            </w:r>
          </w:p>
        </w:tc>
      </w:tr>
      <w:tr w:rsidR="00183121" w:rsidRPr="00546909" w:rsidTr="00183121">
        <w:trPr>
          <w:trHeight w:val="300"/>
        </w:trPr>
        <w:tc>
          <w:tcPr>
            <w:cnfStyle w:val="001000000000" w:firstRow="0" w:lastRow="0" w:firstColumn="1" w:lastColumn="0" w:oddVBand="0" w:evenVBand="0" w:oddHBand="0" w:evenHBand="0" w:firstRowFirstColumn="0" w:firstRowLastColumn="0" w:lastRowFirstColumn="0" w:lastRowLastColumn="0"/>
            <w:tcW w:w="2898" w:type="dxa"/>
            <w:noWrap/>
            <w:hideMark/>
          </w:tcPr>
          <w:p w:rsidR="00183121" w:rsidRPr="0044421C" w:rsidRDefault="00B72770" w:rsidP="00183121">
            <w:pPr>
              <w:jc w:val="left"/>
              <w:rPr>
                <w:rFonts w:eastAsia="Times New Roman" w:cs="Times New Roman"/>
                <w:b w:val="0"/>
                <w:color w:val="000000"/>
              </w:rPr>
            </w:pPr>
            <w:r>
              <w:rPr>
                <w:rFonts w:eastAsia="Times New Roman" w:cs="Times New Roman"/>
                <w:b w:val="0"/>
                <w:color w:val="000000"/>
              </w:rPr>
              <w:t>Average</w:t>
            </w:r>
            <w:r w:rsidR="00183121" w:rsidRPr="0044421C">
              <w:rPr>
                <w:rFonts w:eastAsia="Times New Roman" w:cs="Times New Roman"/>
                <w:b w:val="0"/>
                <w:color w:val="000000"/>
              </w:rPr>
              <w:t xml:space="preserve"> Parcel Value</w:t>
            </w:r>
          </w:p>
        </w:tc>
        <w:tc>
          <w:tcPr>
            <w:tcW w:w="1980" w:type="dxa"/>
            <w:noWrap/>
            <w:hideMark/>
          </w:tcPr>
          <w:p w:rsidR="00183121" w:rsidRPr="00BE6F32" w:rsidRDefault="00183121" w:rsidP="0018312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E6F32">
              <w:rPr>
                <w:rFonts w:eastAsia="Times New Roman" w:cs="Times New Roman"/>
                <w:color w:val="000000"/>
              </w:rPr>
              <w:t>$212,500</w:t>
            </w:r>
          </w:p>
        </w:tc>
      </w:tr>
      <w:tr w:rsidR="00183121" w:rsidRPr="00546909" w:rsidTr="00183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noWrap/>
            <w:hideMark/>
          </w:tcPr>
          <w:p w:rsidR="00183121" w:rsidRPr="0044421C" w:rsidRDefault="00183121" w:rsidP="00183121">
            <w:pPr>
              <w:jc w:val="left"/>
              <w:rPr>
                <w:rFonts w:eastAsia="Times New Roman" w:cs="Times New Roman"/>
                <w:b w:val="0"/>
                <w:color w:val="000000"/>
              </w:rPr>
            </w:pPr>
            <w:r w:rsidRPr="0044421C">
              <w:rPr>
                <w:rFonts w:eastAsia="Times New Roman" w:cs="Times New Roman"/>
                <w:b w:val="0"/>
                <w:color w:val="000000"/>
              </w:rPr>
              <w:t>Average Year Built</w:t>
            </w:r>
          </w:p>
        </w:tc>
        <w:tc>
          <w:tcPr>
            <w:tcW w:w="1980" w:type="dxa"/>
            <w:noWrap/>
            <w:hideMark/>
          </w:tcPr>
          <w:p w:rsidR="00183121" w:rsidRPr="00BE6F32" w:rsidRDefault="00183121" w:rsidP="0018312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E6F32">
              <w:rPr>
                <w:rFonts w:eastAsia="Times New Roman" w:cs="Times New Roman"/>
                <w:color w:val="000000"/>
              </w:rPr>
              <w:t>1964</w:t>
            </w:r>
          </w:p>
        </w:tc>
      </w:tr>
      <w:tr w:rsidR="00183121" w:rsidRPr="00546909" w:rsidTr="00183121">
        <w:trPr>
          <w:trHeight w:val="300"/>
        </w:trPr>
        <w:tc>
          <w:tcPr>
            <w:cnfStyle w:val="001000000000" w:firstRow="0" w:lastRow="0" w:firstColumn="1" w:lastColumn="0" w:oddVBand="0" w:evenVBand="0" w:oddHBand="0" w:evenHBand="0" w:firstRowFirstColumn="0" w:firstRowLastColumn="0" w:lastRowFirstColumn="0" w:lastRowLastColumn="0"/>
            <w:tcW w:w="2898" w:type="dxa"/>
            <w:noWrap/>
            <w:hideMark/>
          </w:tcPr>
          <w:p w:rsidR="00183121" w:rsidRPr="0044421C" w:rsidRDefault="00183121" w:rsidP="00183121">
            <w:pPr>
              <w:jc w:val="left"/>
              <w:rPr>
                <w:rFonts w:eastAsia="Times New Roman" w:cs="Times New Roman"/>
                <w:b w:val="0"/>
                <w:color w:val="000000"/>
              </w:rPr>
            </w:pPr>
            <w:r w:rsidRPr="0044421C">
              <w:rPr>
                <w:rFonts w:eastAsia="Times New Roman" w:cs="Times New Roman"/>
                <w:b w:val="0"/>
                <w:color w:val="000000"/>
              </w:rPr>
              <w:t>Average Acreage</w:t>
            </w:r>
          </w:p>
        </w:tc>
        <w:tc>
          <w:tcPr>
            <w:tcW w:w="1980" w:type="dxa"/>
            <w:noWrap/>
            <w:hideMark/>
          </w:tcPr>
          <w:p w:rsidR="00183121" w:rsidRPr="00BE6F32" w:rsidRDefault="00183121" w:rsidP="0018312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E6F32">
              <w:rPr>
                <w:rFonts w:eastAsia="Times New Roman" w:cs="Times New Roman"/>
                <w:color w:val="000000"/>
              </w:rPr>
              <w:t>1.37 Acres</w:t>
            </w:r>
          </w:p>
        </w:tc>
      </w:tr>
      <w:tr w:rsidR="00183121" w:rsidRPr="00546909" w:rsidTr="00183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noWrap/>
            <w:hideMark/>
          </w:tcPr>
          <w:p w:rsidR="00183121" w:rsidRPr="0044421C" w:rsidRDefault="00183121" w:rsidP="00183121">
            <w:pPr>
              <w:jc w:val="left"/>
              <w:rPr>
                <w:rFonts w:eastAsia="Times New Roman" w:cs="Times New Roman"/>
                <w:b w:val="0"/>
                <w:color w:val="000000"/>
              </w:rPr>
            </w:pPr>
            <w:r w:rsidRPr="0044421C">
              <w:rPr>
                <w:rFonts w:eastAsia="Times New Roman" w:cs="Times New Roman"/>
                <w:b w:val="0"/>
                <w:color w:val="000000"/>
              </w:rPr>
              <w:t>Median Year Built</w:t>
            </w:r>
          </w:p>
        </w:tc>
        <w:tc>
          <w:tcPr>
            <w:tcW w:w="1980" w:type="dxa"/>
            <w:noWrap/>
            <w:hideMark/>
          </w:tcPr>
          <w:p w:rsidR="00183121" w:rsidRPr="00BE6F32" w:rsidRDefault="00183121" w:rsidP="0018312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BE6F32">
              <w:rPr>
                <w:rFonts w:eastAsia="Times New Roman" w:cs="Times New Roman"/>
                <w:color w:val="000000"/>
              </w:rPr>
              <w:t>1985</w:t>
            </w:r>
          </w:p>
        </w:tc>
      </w:tr>
      <w:tr w:rsidR="00183121" w:rsidRPr="00546909" w:rsidTr="00183121">
        <w:trPr>
          <w:trHeight w:val="300"/>
        </w:trPr>
        <w:tc>
          <w:tcPr>
            <w:cnfStyle w:val="001000000000" w:firstRow="0" w:lastRow="0" w:firstColumn="1" w:lastColumn="0" w:oddVBand="0" w:evenVBand="0" w:oddHBand="0" w:evenHBand="0" w:firstRowFirstColumn="0" w:firstRowLastColumn="0" w:lastRowFirstColumn="0" w:lastRowLastColumn="0"/>
            <w:tcW w:w="2898" w:type="dxa"/>
            <w:noWrap/>
            <w:hideMark/>
          </w:tcPr>
          <w:p w:rsidR="00183121" w:rsidRPr="0044421C" w:rsidRDefault="00183121" w:rsidP="00183121">
            <w:pPr>
              <w:jc w:val="left"/>
              <w:rPr>
                <w:rFonts w:eastAsia="Times New Roman" w:cs="Times New Roman"/>
                <w:b w:val="0"/>
                <w:color w:val="000000"/>
              </w:rPr>
            </w:pPr>
            <w:r w:rsidRPr="0044421C">
              <w:rPr>
                <w:rFonts w:eastAsia="Times New Roman" w:cs="Times New Roman"/>
                <w:b w:val="0"/>
                <w:color w:val="000000"/>
              </w:rPr>
              <w:t>Median Acreage</w:t>
            </w:r>
          </w:p>
        </w:tc>
        <w:tc>
          <w:tcPr>
            <w:tcW w:w="1980" w:type="dxa"/>
            <w:noWrap/>
            <w:hideMark/>
          </w:tcPr>
          <w:p w:rsidR="00183121" w:rsidRPr="00BE6F32" w:rsidRDefault="00183121" w:rsidP="0018312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BE6F32">
              <w:rPr>
                <w:rFonts w:eastAsia="Times New Roman" w:cs="Times New Roman"/>
                <w:color w:val="000000"/>
              </w:rPr>
              <w:t>0.4 Acres</w:t>
            </w:r>
          </w:p>
        </w:tc>
      </w:tr>
      <w:tr w:rsidR="00183121" w:rsidRPr="00546909" w:rsidTr="001831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gridSpan w:val="2"/>
            <w:shd w:val="clear" w:color="auto" w:fill="auto"/>
            <w:noWrap/>
          </w:tcPr>
          <w:p w:rsidR="00183121" w:rsidRPr="000A70BF" w:rsidRDefault="00183121" w:rsidP="00183121">
            <w:pPr>
              <w:jc w:val="right"/>
              <w:rPr>
                <w:rFonts w:eastAsia="Times New Roman" w:cs="Times New Roman"/>
                <w:b w:val="0"/>
                <w:color w:val="000000"/>
                <w:sz w:val="16"/>
                <w:szCs w:val="16"/>
              </w:rPr>
            </w:pPr>
            <w:r w:rsidRPr="000A70BF">
              <w:rPr>
                <w:rFonts w:eastAsia="Times New Roman" w:cs="Times New Roman"/>
                <w:b w:val="0"/>
                <w:color w:val="000000"/>
                <w:sz w:val="16"/>
                <w:szCs w:val="16"/>
              </w:rPr>
              <w:t>Source: Newmarket Assessing Database</w:t>
            </w:r>
          </w:p>
        </w:tc>
      </w:tr>
    </w:tbl>
    <w:p w:rsidR="009E47C7" w:rsidRPr="009128E4" w:rsidRDefault="009E47C7" w:rsidP="008C5C53">
      <w:pPr>
        <w:pStyle w:val="Heading2"/>
      </w:pPr>
      <w:bookmarkStart w:id="24" w:name="_Toc427316512"/>
      <w:r w:rsidRPr="009128E4">
        <w:t>Assessed Home Values</w:t>
      </w:r>
      <w:bookmarkEnd w:id="24"/>
    </w:p>
    <w:p w:rsidR="001250D6" w:rsidRDefault="003859C8" w:rsidP="00E9286E">
      <w:pPr>
        <w:ind w:left="-720" w:right="-720"/>
      </w:pPr>
      <w:r w:rsidRPr="0016783C">
        <w:t xml:space="preserve">The chart below, extracted from </w:t>
      </w:r>
      <w:r w:rsidR="00D20A45" w:rsidRPr="0016783C">
        <w:t>Newmarket</w:t>
      </w:r>
      <w:r w:rsidRPr="0016783C">
        <w:t xml:space="preserve"> assessing data, represents a </w:t>
      </w:r>
      <w:r w:rsidR="00FA0CD6">
        <w:t>plot</w:t>
      </w:r>
      <w:r w:rsidRPr="0016783C">
        <w:t xml:space="preserve"> of home values within the community. The majority of housing units, with parcel and structure, fall between $</w:t>
      </w:r>
      <w:r w:rsidR="00D20A45" w:rsidRPr="0016783C">
        <w:t>1</w:t>
      </w:r>
      <w:r w:rsidRPr="0016783C">
        <w:t>00,000 and $</w:t>
      </w:r>
      <w:r w:rsidR="00D20A45" w:rsidRPr="0016783C">
        <w:t>3</w:t>
      </w:r>
      <w:r w:rsidRPr="0016783C">
        <w:t>00,000 in value. However, all values range between a lo</w:t>
      </w:r>
      <w:r w:rsidR="00D20A45" w:rsidRPr="0016783C">
        <w:t>w of $1 (likely an assessing database error) and a high of $1,693</w:t>
      </w:r>
      <w:r w:rsidRPr="0016783C">
        <w:t>,</w:t>
      </w:r>
      <w:r w:rsidR="00D20A45" w:rsidRPr="0016783C">
        <w:t>837</w:t>
      </w:r>
      <w:r w:rsidRPr="0016783C">
        <w:t>.</w:t>
      </w:r>
    </w:p>
    <w:p w:rsidR="00E9286E" w:rsidRPr="00E9286E" w:rsidRDefault="00FA0CD6" w:rsidP="00E9286E">
      <w:pPr>
        <w:ind w:left="-720" w:right="-720"/>
        <w:rPr>
          <w:color w:val="FF0000"/>
        </w:rPr>
        <w:sectPr w:rsidR="00E9286E" w:rsidRPr="00E9286E" w:rsidSect="001250D6">
          <w:pgSz w:w="15840" w:h="12240" w:orient="landscape"/>
          <w:pgMar w:top="1440" w:right="1440" w:bottom="1440" w:left="1440" w:header="180" w:footer="720" w:gutter="0"/>
          <w:cols w:space="720"/>
          <w:docGrid w:linePitch="360"/>
        </w:sectPr>
      </w:pPr>
      <w:r>
        <w:rPr>
          <w:noProof/>
        </w:rPr>
        <w:drawing>
          <wp:anchor distT="0" distB="0" distL="114300" distR="114300" simplePos="0" relativeHeight="251688960" behindDoc="0" locked="0" layoutInCell="1" allowOverlap="1" wp14:anchorId="2BCB8F7F" wp14:editId="3B4CB728">
            <wp:simplePos x="0" y="0"/>
            <wp:positionH relativeFrom="column">
              <wp:posOffset>-457200</wp:posOffset>
            </wp:positionH>
            <wp:positionV relativeFrom="paragraph">
              <wp:posOffset>146685</wp:posOffset>
            </wp:positionV>
            <wp:extent cx="9048115" cy="4316730"/>
            <wp:effectExtent l="0" t="0" r="0" b="762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9E47C7" w:rsidRPr="009128E4" w:rsidRDefault="009E47C7" w:rsidP="008C5C53">
      <w:pPr>
        <w:pStyle w:val="Heading2"/>
      </w:pPr>
      <w:bookmarkStart w:id="25" w:name="_Toc427316513"/>
      <w:r w:rsidRPr="009128E4">
        <w:lastRenderedPageBreak/>
        <w:t>Purchase Prices</w:t>
      </w:r>
      <w:bookmarkEnd w:id="25"/>
    </w:p>
    <w:p w:rsidR="007D3B1C" w:rsidRPr="009E3487" w:rsidRDefault="00303485" w:rsidP="0033305F">
      <w:pPr>
        <w:ind w:left="-720" w:right="-720"/>
      </w:pPr>
      <w:r w:rsidRPr="00546909">
        <w:rPr>
          <w:noProof/>
          <w:sz w:val="18"/>
          <w:szCs w:val="18"/>
        </w:rPr>
        <w:drawing>
          <wp:anchor distT="0" distB="0" distL="114300" distR="114300" simplePos="0" relativeHeight="251676672" behindDoc="0" locked="0" layoutInCell="1" allowOverlap="1" wp14:anchorId="091B3FF8" wp14:editId="7571B6AD">
            <wp:simplePos x="0" y="0"/>
            <wp:positionH relativeFrom="column">
              <wp:posOffset>-436245</wp:posOffset>
            </wp:positionH>
            <wp:positionV relativeFrom="paragraph">
              <wp:posOffset>1978660</wp:posOffset>
            </wp:positionV>
            <wp:extent cx="6836410" cy="2253615"/>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7D3B1C" w:rsidRPr="0016783C">
        <w:t xml:space="preserve">Unfortunately, local assessing data </w:t>
      </w:r>
      <w:proofErr w:type="gramStart"/>
      <w:r w:rsidR="007D3B1C" w:rsidRPr="0016783C">
        <w:t>cannot be used</w:t>
      </w:r>
      <w:proofErr w:type="gramEnd"/>
      <w:r w:rsidR="007D3B1C" w:rsidRPr="0016783C">
        <w:t xml:space="preserve"> to compare </w:t>
      </w:r>
      <w:r w:rsidR="0033305F" w:rsidRPr="0016783C">
        <w:t>Newmarket</w:t>
      </w:r>
      <w:r w:rsidR="00A524FB">
        <w:t xml:space="preserve"> home values</w:t>
      </w:r>
      <w:r w:rsidR="007D3B1C" w:rsidRPr="0016783C">
        <w:t xml:space="preserve"> to state, regional, and housing area historic annual statistics; New Hampshire Housing Finance Authority datasets do allow for this analysis, and are used in the chart </w:t>
      </w:r>
      <w:r w:rsidR="00A524FB">
        <w:t>below</w:t>
      </w:r>
      <w:r w:rsidR="00E440C7" w:rsidRPr="009E3487">
        <w:t xml:space="preserve">. Over the past two decades of New Hampshire Housing Finance Authority data, Newmarket’s median purchase prices have been consistently higher than regional and </w:t>
      </w:r>
      <w:r w:rsidR="00A524FB">
        <w:t>state</w:t>
      </w:r>
      <w:r w:rsidR="00E440C7" w:rsidRPr="009E3487">
        <w:t xml:space="preserve"> values</w:t>
      </w:r>
      <w:r w:rsidR="007D3B1C" w:rsidRPr="009E3487">
        <w:t xml:space="preserve">. </w:t>
      </w:r>
      <w:r w:rsidR="009E3487">
        <w:t xml:space="preserve">In comparison </w:t>
      </w:r>
      <w:r w:rsidR="00A524FB">
        <w:t xml:space="preserve">to </w:t>
      </w:r>
      <w:r w:rsidR="009E3487">
        <w:t xml:space="preserve">the Portsmouth-Rochester HFMR, Newmarket’s values have been variable. </w:t>
      </w:r>
      <w:r w:rsidR="007D3B1C" w:rsidRPr="00E440C7">
        <w:t>The Strafford region, which includes Strafford County, southern Carroll County, and northern Rockingham County communities</w:t>
      </w:r>
      <w:r w:rsidR="007D3B1C" w:rsidRPr="009E3487">
        <w:t xml:space="preserve">, has consistently represented the lowest home values of these </w:t>
      </w:r>
      <w:r w:rsidR="0081382C">
        <w:t>a</w:t>
      </w:r>
      <w:r w:rsidR="001433ED">
        <w:t>reas</w:t>
      </w:r>
      <w:r w:rsidR="007D3B1C" w:rsidRPr="009E3487">
        <w:t xml:space="preserve">. </w:t>
      </w:r>
      <w:r w:rsidR="009E3487" w:rsidRPr="009E3487">
        <w:t xml:space="preserve">As of 2013, Newmarket’s median purchase price is nearly $60,000 greater than </w:t>
      </w:r>
      <w:r w:rsidR="00A524FB">
        <w:t xml:space="preserve">that of </w:t>
      </w:r>
      <w:r w:rsidR="009E3487" w:rsidRPr="009E3487">
        <w:t xml:space="preserve">the region. </w:t>
      </w:r>
      <w:r w:rsidR="007D3B1C" w:rsidRPr="009E3487">
        <w:t>Interestingly, the 2013 median purchase price of $</w:t>
      </w:r>
      <w:r w:rsidR="00E440C7" w:rsidRPr="009E3487">
        <w:t>233</w:t>
      </w:r>
      <w:r w:rsidR="007D3B1C" w:rsidRPr="009E3487">
        <w:t xml:space="preserve">,000 is extremely close to the </w:t>
      </w:r>
      <w:r w:rsidR="00E440C7" w:rsidRPr="009E3487">
        <w:t>Newmarket</w:t>
      </w:r>
      <w:r w:rsidR="007D3B1C" w:rsidRPr="009E3487">
        <w:t xml:space="preserve"> assessing database median home value of $</w:t>
      </w:r>
      <w:r w:rsidR="009E3487" w:rsidRPr="009E3487">
        <w:t>253,558</w:t>
      </w:r>
      <w:r w:rsidR="007D3B1C" w:rsidRPr="009E3487">
        <w:t>.</w:t>
      </w:r>
    </w:p>
    <w:p w:rsidR="00EB68E6" w:rsidRPr="00546909" w:rsidRDefault="00EB68E6" w:rsidP="00EB68E6">
      <w:pPr>
        <w:rPr>
          <w:sz w:val="18"/>
          <w:szCs w:val="18"/>
        </w:rPr>
      </w:pPr>
    </w:p>
    <w:p w:rsidR="009E47C7" w:rsidRPr="00E440C7" w:rsidRDefault="009E47C7" w:rsidP="008C5C53">
      <w:pPr>
        <w:pStyle w:val="Heading2"/>
      </w:pPr>
      <w:bookmarkStart w:id="26" w:name="_Toc427316514"/>
      <w:r w:rsidRPr="009128E4">
        <w:t>Purchase Price Frequency</w:t>
      </w:r>
      <w:bookmarkEnd w:id="26"/>
    </w:p>
    <w:p w:rsidR="007D3B1C" w:rsidRPr="00303485" w:rsidRDefault="00303485" w:rsidP="0033305F">
      <w:pPr>
        <w:ind w:left="-720" w:right="-720"/>
      </w:pPr>
      <w:r w:rsidRPr="0016783C">
        <w:rPr>
          <w:noProof/>
          <w:color w:val="FF0000"/>
        </w:rPr>
        <w:drawing>
          <wp:anchor distT="0" distB="0" distL="114300" distR="114300" simplePos="0" relativeHeight="251673600" behindDoc="0" locked="0" layoutInCell="1" allowOverlap="1" wp14:anchorId="267A03C9" wp14:editId="31EFEFF1">
            <wp:simplePos x="0" y="0"/>
            <wp:positionH relativeFrom="column">
              <wp:posOffset>-510540</wp:posOffset>
            </wp:positionH>
            <wp:positionV relativeFrom="paragraph">
              <wp:posOffset>1202690</wp:posOffset>
            </wp:positionV>
            <wp:extent cx="6645275" cy="1998345"/>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7D3B1C" w:rsidRPr="00303485">
        <w:t xml:space="preserve">New Hampshire Housing Finance Authority records a majority of home purchases/sales within each community including both single-family and condominium units. These data provide an opportunity for a snapshot-in-time analysis of the existing housing market. In 2013, </w:t>
      </w:r>
      <w:r w:rsidRPr="00303485">
        <w:t>47</w:t>
      </w:r>
      <w:r w:rsidR="007D3B1C" w:rsidRPr="00303485">
        <w:t xml:space="preserve"> total purchases ranged from a minimum of $</w:t>
      </w:r>
      <w:r w:rsidRPr="00303485">
        <w:t>8</w:t>
      </w:r>
      <w:r w:rsidR="007D3B1C" w:rsidRPr="00303485">
        <w:t>0,000 to a maximum of $</w:t>
      </w:r>
      <w:r w:rsidRPr="00303485">
        <w:t>460</w:t>
      </w:r>
      <w:r w:rsidR="007D3B1C" w:rsidRPr="00303485">
        <w:t xml:space="preserve">,000. In concert with </w:t>
      </w:r>
      <w:r w:rsidRPr="00303485">
        <w:t>Newmarket</w:t>
      </w:r>
      <w:r w:rsidR="007D3B1C" w:rsidRPr="00303485">
        <w:t xml:space="preserve"> assessing data, the majority of sales occurred</w:t>
      </w:r>
      <w:r w:rsidR="00845B6F">
        <w:t xml:space="preserve"> in</w:t>
      </w:r>
      <w:r w:rsidR="007D3B1C" w:rsidRPr="00303485">
        <w:t xml:space="preserve"> the $1</w:t>
      </w:r>
      <w:r w:rsidRPr="00303485">
        <w:t>0</w:t>
      </w:r>
      <w:r w:rsidR="007D3B1C" w:rsidRPr="00303485">
        <w:t>0,000 and $</w:t>
      </w:r>
      <w:r w:rsidRPr="00303485">
        <w:t>300</w:t>
      </w:r>
      <w:r w:rsidR="007D3B1C" w:rsidRPr="00303485">
        <w:t>,000 range, with few outliers. The most frequent purchase price</w:t>
      </w:r>
      <w:r w:rsidRPr="00303485">
        <w:t xml:space="preserve"> range</w:t>
      </w:r>
      <w:r w:rsidR="007D3B1C" w:rsidRPr="00303485">
        <w:t xml:space="preserve"> for the year 2013 was </w:t>
      </w:r>
      <w:r w:rsidRPr="00303485">
        <w:t>between $220,000 and $250,000.</w:t>
      </w:r>
      <w:r>
        <w:t xml:space="preserve"> </w:t>
      </w:r>
      <w:r w:rsidR="00845B6F">
        <w:t>All n</w:t>
      </w:r>
      <w:r w:rsidR="009C5795">
        <w:t>ew housing unit construction purchases</w:t>
      </w:r>
      <w:r>
        <w:t xml:space="preserve"> were greater than $400,000</w:t>
      </w:r>
      <w:r w:rsidR="00845B6F">
        <w:t xml:space="preserve"> in value</w:t>
      </w:r>
      <w:r>
        <w:t>.</w:t>
      </w:r>
    </w:p>
    <w:p w:rsidR="009E47C7" w:rsidRPr="009128E4" w:rsidRDefault="009E47C7" w:rsidP="008C5C53">
      <w:pPr>
        <w:pStyle w:val="Heading2"/>
      </w:pPr>
      <w:bookmarkStart w:id="27" w:name="_Toc427316515"/>
      <w:r w:rsidRPr="009128E4">
        <w:lastRenderedPageBreak/>
        <w:t>Rental Cost</w:t>
      </w:r>
      <w:r w:rsidR="00013549">
        <w:t>s</w:t>
      </w:r>
      <w:bookmarkEnd w:id="27"/>
    </w:p>
    <w:p w:rsidR="007D3B1C" w:rsidRPr="00487358" w:rsidRDefault="003B07E9" w:rsidP="00C6180F">
      <w:pPr>
        <w:ind w:left="-720" w:right="-720"/>
      </w:pPr>
      <w:r w:rsidRPr="00546909">
        <w:rPr>
          <w:noProof/>
          <w:sz w:val="18"/>
          <w:szCs w:val="18"/>
        </w:rPr>
        <w:drawing>
          <wp:anchor distT="0" distB="0" distL="114300" distR="114300" simplePos="0" relativeHeight="251677696" behindDoc="0" locked="0" layoutInCell="1" allowOverlap="1" wp14:anchorId="5CD4B3AF" wp14:editId="66FE372F">
            <wp:simplePos x="0" y="0"/>
            <wp:positionH relativeFrom="column">
              <wp:posOffset>-436880</wp:posOffset>
            </wp:positionH>
            <wp:positionV relativeFrom="paragraph">
              <wp:posOffset>1604645</wp:posOffset>
            </wp:positionV>
            <wp:extent cx="6864350" cy="2497455"/>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7D3B1C" w:rsidRPr="00487358">
        <w:t>New Hampshire Housing Finance Authority</w:t>
      </w:r>
      <w:r w:rsidR="001433ED">
        <w:t xml:space="preserve"> (NHHFA)</w:t>
      </w:r>
      <w:r w:rsidR="007D3B1C" w:rsidRPr="00487358">
        <w:t xml:space="preserve">, in its annual rental cost survey, collects sample data from </w:t>
      </w:r>
      <w:proofErr w:type="gramStart"/>
      <w:r w:rsidR="007D3B1C" w:rsidRPr="00487358">
        <w:t>landlords</w:t>
      </w:r>
      <w:proofErr w:type="gramEnd"/>
      <w:r w:rsidR="007D3B1C" w:rsidRPr="00487358">
        <w:t xml:space="preserve"> related to monthly rental prices. Unfortunately, NHHFA’s sampling process excludes seasonal and student housing rentals</w:t>
      </w:r>
      <w:r w:rsidR="0016783C" w:rsidRPr="00487358">
        <w:t>, which have increased in prevalence in Newmarket and adjacent communities</w:t>
      </w:r>
      <w:r w:rsidR="007D3B1C" w:rsidRPr="00487358">
        <w:t xml:space="preserve">. NHHFA’s data illustrate a </w:t>
      </w:r>
      <w:r w:rsidR="00487358" w:rsidRPr="00487358">
        <w:t>variable</w:t>
      </w:r>
      <w:r w:rsidR="007D3B1C" w:rsidRPr="00487358">
        <w:t xml:space="preserve"> </w:t>
      </w:r>
      <w:r w:rsidR="00487358" w:rsidRPr="00487358">
        <w:t>Newmarket</w:t>
      </w:r>
      <w:r w:rsidR="007D3B1C" w:rsidRPr="00487358">
        <w:t xml:space="preserve"> rental market in comparison to the Strafford region, </w:t>
      </w:r>
      <w:r w:rsidR="00207CBB">
        <w:t xml:space="preserve">Portsmouth-Rochester HFMR, and </w:t>
      </w:r>
      <w:r w:rsidR="00D56819">
        <w:t>S</w:t>
      </w:r>
      <w:r w:rsidR="007D3B1C" w:rsidRPr="00487358">
        <w:t xml:space="preserve">tate of New Hampshire. </w:t>
      </w:r>
      <w:r w:rsidR="00487358" w:rsidRPr="00487358">
        <w:t>In the last 5 years however, Newmarket’s median monthly rental costs have consistently been above all three comparison geographies. Rental costs, because of Newmarket’s proximity to the University New Hampshire, are likely to be higher as students tend to live in larger households with higher rental costs</w:t>
      </w:r>
      <w:r w:rsidR="00207CBB">
        <w:t>.</w:t>
      </w:r>
    </w:p>
    <w:p w:rsidR="00303485" w:rsidRDefault="00303485" w:rsidP="00C6180F">
      <w:pPr>
        <w:ind w:left="-720" w:right="-720"/>
        <w:rPr>
          <w:rStyle w:val="Heading2Char"/>
        </w:rPr>
      </w:pPr>
    </w:p>
    <w:p w:rsidR="009E47C7" w:rsidRPr="0033305F" w:rsidRDefault="009E47C7" w:rsidP="00C6180F">
      <w:pPr>
        <w:ind w:left="-720" w:right="-720"/>
        <w:rPr>
          <w:rStyle w:val="Heading2Char"/>
        </w:rPr>
      </w:pPr>
      <w:bookmarkStart w:id="28" w:name="_Toc427316516"/>
      <w:r w:rsidRPr="0033305F">
        <w:rPr>
          <w:rStyle w:val="Heading2Char"/>
        </w:rPr>
        <w:t>Rental Cost Frequency</w:t>
      </w:r>
      <w:bookmarkEnd w:id="28"/>
    </w:p>
    <w:p w:rsidR="00CB6485" w:rsidRPr="00487358" w:rsidRDefault="00487358" w:rsidP="00487358">
      <w:pPr>
        <w:ind w:left="-720" w:right="-720"/>
        <w:rPr>
          <w:sz w:val="18"/>
          <w:szCs w:val="18"/>
        </w:rPr>
      </w:pPr>
      <w:r w:rsidRPr="00546909">
        <w:rPr>
          <w:noProof/>
          <w:sz w:val="18"/>
          <w:szCs w:val="18"/>
        </w:rPr>
        <w:drawing>
          <wp:anchor distT="0" distB="0" distL="114300" distR="114300" simplePos="0" relativeHeight="251675648" behindDoc="0" locked="0" layoutInCell="1" allowOverlap="1" wp14:anchorId="4197F485" wp14:editId="7D8C621D">
            <wp:simplePos x="0" y="0"/>
            <wp:positionH relativeFrom="column">
              <wp:posOffset>-341630</wp:posOffset>
            </wp:positionH>
            <wp:positionV relativeFrom="paragraph">
              <wp:posOffset>659765</wp:posOffset>
            </wp:positionV>
            <wp:extent cx="6741795" cy="230632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sz w:val="18"/>
          <w:szCs w:val="18"/>
        </w:rPr>
        <w:t>Rental cost frequency details rental survey information collected by New Hampshire Housing Finance Authority. A concentration is clear at the $1,250 per month value for both 2-bedroom units and all other units</w:t>
      </w:r>
      <w:r w:rsidR="00262D66">
        <w:rPr>
          <w:sz w:val="18"/>
          <w:szCs w:val="18"/>
        </w:rPr>
        <w:t xml:space="preserve"> in 2013</w:t>
      </w:r>
      <w:r>
        <w:rPr>
          <w:sz w:val="18"/>
          <w:szCs w:val="18"/>
        </w:rPr>
        <w:t>. Few units sampled are below $1,000 or</w:t>
      </w:r>
      <w:r w:rsidR="00262D66">
        <w:rPr>
          <w:sz w:val="18"/>
          <w:szCs w:val="18"/>
        </w:rPr>
        <w:t xml:space="preserve"> above $1,700 dollars per month.</w:t>
      </w:r>
      <w:r w:rsidR="00CB6485" w:rsidRPr="00546909">
        <w:rPr>
          <w:sz w:val="18"/>
          <w:szCs w:val="18"/>
        </w:rPr>
        <w:br w:type="page"/>
      </w:r>
    </w:p>
    <w:p w:rsidR="00937072" w:rsidRPr="009128E4" w:rsidRDefault="00937072" w:rsidP="006B58B7">
      <w:pPr>
        <w:pStyle w:val="Heading2"/>
        <w:spacing w:before="0" w:after="0"/>
      </w:pPr>
      <w:bookmarkStart w:id="29" w:name="_Toc427316517"/>
      <w:r w:rsidRPr="009128E4">
        <w:lastRenderedPageBreak/>
        <w:t>Severe Housing Problems</w:t>
      </w:r>
      <w:bookmarkEnd w:id="29"/>
    </w:p>
    <w:tbl>
      <w:tblPr>
        <w:tblStyle w:val="ColorfulList"/>
        <w:tblpPr w:leftFromText="180" w:rightFromText="180" w:vertAnchor="page" w:horzAnchor="page" w:tblpX="6149" w:tblpY="2112"/>
        <w:tblW w:w="5508" w:type="dxa"/>
        <w:tblLook w:val="04A0" w:firstRow="1" w:lastRow="0" w:firstColumn="1" w:lastColumn="0" w:noHBand="0" w:noVBand="1"/>
      </w:tblPr>
      <w:tblGrid>
        <w:gridCol w:w="1638"/>
        <w:gridCol w:w="1080"/>
        <w:gridCol w:w="2790"/>
      </w:tblGrid>
      <w:tr w:rsidR="004B7840" w:rsidRPr="00546909" w:rsidTr="004B7840">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508" w:type="dxa"/>
            <w:gridSpan w:val="3"/>
            <w:noWrap/>
          </w:tcPr>
          <w:p w:rsidR="004B7840" w:rsidRPr="00366FCE" w:rsidRDefault="004B7840" w:rsidP="001B6562">
            <w:pPr>
              <w:rPr>
                <w:b w:val="0"/>
                <w:color w:val="000000"/>
                <w:sz w:val="28"/>
                <w:szCs w:val="28"/>
              </w:rPr>
            </w:pPr>
            <w:bookmarkStart w:id="30" w:name="_Toc388601681"/>
            <w:r w:rsidRPr="00366FCE">
              <w:rPr>
                <w:b w:val="0"/>
                <w:sz w:val="28"/>
                <w:szCs w:val="28"/>
              </w:rPr>
              <w:t xml:space="preserve">Table </w:t>
            </w:r>
            <w:r w:rsidR="001B6562">
              <w:rPr>
                <w:b w:val="0"/>
                <w:sz w:val="28"/>
                <w:szCs w:val="28"/>
              </w:rPr>
              <w:t>10</w:t>
            </w:r>
            <w:r w:rsidRPr="00366FCE">
              <w:rPr>
                <w:b w:val="0"/>
                <w:sz w:val="28"/>
                <w:szCs w:val="28"/>
              </w:rPr>
              <w:t>: Percentage of Households with 1 of 4 Severe Housing Problems</w:t>
            </w:r>
            <w:bookmarkEnd w:id="30"/>
          </w:p>
        </w:tc>
      </w:tr>
      <w:tr w:rsidR="004B7840" w:rsidRPr="00546909" w:rsidTr="004B7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264558" w:rsidRDefault="004B7840" w:rsidP="006B58B7"/>
        </w:tc>
        <w:tc>
          <w:tcPr>
            <w:tcW w:w="1080" w:type="dxa"/>
            <w:noWrap/>
            <w:hideMark/>
          </w:tcPr>
          <w:p w:rsidR="004B7840" w:rsidRPr="00264558" w:rsidRDefault="004B7840" w:rsidP="006B58B7">
            <w:pPr>
              <w:cnfStyle w:val="000000100000" w:firstRow="0" w:lastRow="0" w:firstColumn="0" w:lastColumn="0" w:oddVBand="0" w:evenVBand="0" w:oddHBand="1" w:evenHBand="0" w:firstRowFirstColumn="0" w:firstRowLastColumn="0" w:lastRowFirstColumn="0" w:lastRowLastColumn="0"/>
            </w:pPr>
            <w:r w:rsidRPr="00264558">
              <w:t>Owner</w:t>
            </w:r>
          </w:p>
        </w:tc>
        <w:tc>
          <w:tcPr>
            <w:tcW w:w="2790" w:type="dxa"/>
            <w:noWrap/>
            <w:hideMark/>
          </w:tcPr>
          <w:p w:rsidR="004B7840" w:rsidRPr="00264558" w:rsidRDefault="004B7840" w:rsidP="006B58B7">
            <w:pPr>
              <w:cnfStyle w:val="000000100000" w:firstRow="0" w:lastRow="0" w:firstColumn="0" w:lastColumn="0" w:oddVBand="0" w:evenVBand="0" w:oddHBand="1" w:evenHBand="0" w:firstRowFirstColumn="0" w:firstRowLastColumn="0" w:lastRowFirstColumn="0" w:lastRowLastColumn="0"/>
            </w:pPr>
            <w:r w:rsidRPr="00264558">
              <w:t xml:space="preserve">Renter </w:t>
            </w:r>
          </w:p>
        </w:tc>
      </w:tr>
      <w:tr w:rsidR="004B7840" w:rsidRPr="00CF00FC" w:rsidTr="004B7840">
        <w:trPr>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CF00FC" w:rsidRDefault="004B7840" w:rsidP="006B58B7">
            <w:pPr>
              <w:rPr>
                <w:b w:val="0"/>
                <w:color w:val="auto"/>
              </w:rPr>
            </w:pPr>
            <w:r w:rsidRPr="00CF00FC">
              <w:rPr>
                <w:b w:val="0"/>
                <w:color w:val="auto"/>
              </w:rPr>
              <w:t>Barrington</w:t>
            </w:r>
          </w:p>
        </w:tc>
        <w:tc>
          <w:tcPr>
            <w:tcW w:w="1080" w:type="dxa"/>
            <w:noWrap/>
            <w:hideMark/>
          </w:tcPr>
          <w:p w:rsidR="004B7840" w:rsidRPr="00CF00FC"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6%</w:t>
            </w:r>
          </w:p>
        </w:tc>
        <w:tc>
          <w:tcPr>
            <w:tcW w:w="2790" w:type="dxa"/>
            <w:noWrap/>
            <w:hideMark/>
          </w:tcPr>
          <w:p w:rsidR="004B7840" w:rsidRPr="00CF00FC"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4%</w:t>
            </w:r>
          </w:p>
        </w:tc>
      </w:tr>
      <w:tr w:rsidR="004B7840" w:rsidRPr="00CF00FC" w:rsidTr="004B7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CF00FC" w:rsidRDefault="004B7840" w:rsidP="006B58B7">
            <w:pPr>
              <w:rPr>
                <w:b w:val="0"/>
                <w:color w:val="auto"/>
              </w:rPr>
            </w:pPr>
            <w:r w:rsidRPr="00CF00FC">
              <w:rPr>
                <w:b w:val="0"/>
                <w:color w:val="auto"/>
              </w:rPr>
              <w:t>Dover</w:t>
            </w:r>
          </w:p>
        </w:tc>
        <w:tc>
          <w:tcPr>
            <w:tcW w:w="108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6%</w:t>
            </w:r>
          </w:p>
        </w:tc>
        <w:tc>
          <w:tcPr>
            <w:tcW w:w="279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10%</w:t>
            </w:r>
          </w:p>
        </w:tc>
      </w:tr>
      <w:tr w:rsidR="004B7840" w:rsidRPr="00CF00FC" w:rsidTr="004B7840">
        <w:trPr>
          <w:trHeight w:val="315"/>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CF00FC" w:rsidRDefault="004B7840" w:rsidP="006B58B7">
            <w:pPr>
              <w:rPr>
                <w:b w:val="0"/>
                <w:color w:val="auto"/>
              </w:rPr>
            </w:pPr>
            <w:r w:rsidRPr="00CF00FC">
              <w:rPr>
                <w:b w:val="0"/>
                <w:color w:val="auto"/>
              </w:rPr>
              <w:t>Durham</w:t>
            </w:r>
          </w:p>
        </w:tc>
        <w:tc>
          <w:tcPr>
            <w:tcW w:w="1080" w:type="dxa"/>
            <w:noWrap/>
            <w:hideMark/>
          </w:tcPr>
          <w:p w:rsidR="004B7840" w:rsidRPr="00CF00FC"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8%</w:t>
            </w:r>
          </w:p>
        </w:tc>
        <w:tc>
          <w:tcPr>
            <w:tcW w:w="2790" w:type="dxa"/>
            <w:noWrap/>
            <w:hideMark/>
          </w:tcPr>
          <w:p w:rsidR="004B7840" w:rsidRPr="00CF00FC"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23%</w:t>
            </w:r>
          </w:p>
        </w:tc>
      </w:tr>
      <w:tr w:rsidR="004B7840" w:rsidRPr="00CF00FC" w:rsidTr="004B7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CF00FC" w:rsidRDefault="004B7840" w:rsidP="006B58B7">
            <w:pPr>
              <w:rPr>
                <w:b w:val="0"/>
                <w:color w:val="auto"/>
              </w:rPr>
            </w:pPr>
            <w:r w:rsidRPr="00CF00FC">
              <w:rPr>
                <w:b w:val="0"/>
                <w:color w:val="auto"/>
              </w:rPr>
              <w:t>Madbury</w:t>
            </w:r>
          </w:p>
        </w:tc>
        <w:tc>
          <w:tcPr>
            <w:tcW w:w="108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10%</w:t>
            </w:r>
          </w:p>
        </w:tc>
        <w:tc>
          <w:tcPr>
            <w:tcW w:w="279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7%</w:t>
            </w:r>
          </w:p>
        </w:tc>
      </w:tr>
      <w:tr w:rsidR="004B7840" w:rsidRPr="00CF00FC" w:rsidTr="004B7840">
        <w:trPr>
          <w:trHeight w:val="342"/>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B72770" w:rsidRDefault="004B7840" w:rsidP="006B58B7">
            <w:pPr>
              <w:rPr>
                <w:color w:val="auto"/>
              </w:rPr>
            </w:pPr>
            <w:r w:rsidRPr="00B72770">
              <w:rPr>
                <w:color w:val="auto"/>
              </w:rPr>
              <w:t>Newmarket</w:t>
            </w:r>
          </w:p>
        </w:tc>
        <w:tc>
          <w:tcPr>
            <w:tcW w:w="1080" w:type="dxa"/>
            <w:noWrap/>
            <w:hideMark/>
          </w:tcPr>
          <w:p w:rsidR="004B7840" w:rsidRPr="00B72770"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b/>
                <w:color w:val="auto"/>
                <w:lang w:eastAsia="zh-CN" w:bidi="hi-IN"/>
              </w:rPr>
            </w:pPr>
            <w:r w:rsidRPr="00B72770">
              <w:rPr>
                <w:rFonts w:eastAsia="Droid Sans Fallback" w:cs="Lohit Hindi"/>
                <w:b/>
                <w:color w:val="auto"/>
                <w:lang w:eastAsia="zh-CN" w:bidi="hi-IN"/>
              </w:rPr>
              <w:t>7%</w:t>
            </w:r>
          </w:p>
        </w:tc>
        <w:tc>
          <w:tcPr>
            <w:tcW w:w="2790" w:type="dxa"/>
            <w:noWrap/>
            <w:hideMark/>
          </w:tcPr>
          <w:p w:rsidR="004B7840" w:rsidRPr="00B72770"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b/>
                <w:color w:val="auto"/>
                <w:lang w:eastAsia="zh-CN" w:bidi="hi-IN"/>
              </w:rPr>
            </w:pPr>
            <w:r w:rsidRPr="00B72770">
              <w:rPr>
                <w:rFonts w:eastAsia="Droid Sans Fallback" w:cs="Lohit Hindi"/>
                <w:b/>
                <w:color w:val="auto"/>
                <w:lang w:eastAsia="zh-CN" w:bidi="hi-IN"/>
              </w:rPr>
              <w:t>10%</w:t>
            </w:r>
          </w:p>
        </w:tc>
      </w:tr>
      <w:tr w:rsidR="004B7840" w:rsidRPr="00CF00FC" w:rsidTr="004B7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CF00FC" w:rsidRDefault="004B7840" w:rsidP="006B58B7">
            <w:pPr>
              <w:rPr>
                <w:b w:val="0"/>
              </w:rPr>
            </w:pPr>
            <w:r w:rsidRPr="00CF00FC">
              <w:rPr>
                <w:b w:val="0"/>
              </w:rPr>
              <w:t>Northwood</w:t>
            </w:r>
          </w:p>
        </w:tc>
        <w:tc>
          <w:tcPr>
            <w:tcW w:w="108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00000A"/>
                <w:lang w:eastAsia="zh-CN" w:bidi="hi-IN"/>
              </w:rPr>
            </w:pPr>
            <w:r w:rsidRPr="00CF00FC">
              <w:rPr>
                <w:rFonts w:eastAsia="Droid Sans Fallback" w:cs="Lohit Hindi"/>
                <w:color w:val="00000A"/>
                <w:lang w:eastAsia="zh-CN" w:bidi="hi-IN"/>
              </w:rPr>
              <w:t>9%</w:t>
            </w:r>
          </w:p>
        </w:tc>
        <w:tc>
          <w:tcPr>
            <w:tcW w:w="279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00000A"/>
                <w:lang w:eastAsia="zh-CN" w:bidi="hi-IN"/>
              </w:rPr>
            </w:pPr>
            <w:r w:rsidRPr="00CF00FC">
              <w:rPr>
                <w:rFonts w:eastAsia="Droid Sans Fallback" w:cs="Lohit Hindi"/>
                <w:color w:val="00000A"/>
                <w:lang w:eastAsia="zh-CN" w:bidi="hi-IN"/>
              </w:rPr>
              <w:t>1%</w:t>
            </w:r>
          </w:p>
        </w:tc>
      </w:tr>
      <w:tr w:rsidR="004B7840" w:rsidRPr="00CF00FC" w:rsidTr="004B7840">
        <w:trPr>
          <w:trHeight w:val="333"/>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CF00FC" w:rsidRDefault="004B7840" w:rsidP="006B58B7">
            <w:pPr>
              <w:rPr>
                <w:b w:val="0"/>
              </w:rPr>
            </w:pPr>
            <w:r w:rsidRPr="00CF00FC">
              <w:rPr>
                <w:b w:val="0"/>
              </w:rPr>
              <w:t>Rochester</w:t>
            </w:r>
          </w:p>
        </w:tc>
        <w:tc>
          <w:tcPr>
            <w:tcW w:w="1080" w:type="dxa"/>
            <w:noWrap/>
            <w:hideMark/>
          </w:tcPr>
          <w:p w:rsidR="004B7840" w:rsidRPr="00CF00FC"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color w:val="00000A"/>
                <w:lang w:eastAsia="zh-CN" w:bidi="hi-IN"/>
              </w:rPr>
            </w:pPr>
            <w:r w:rsidRPr="00CF00FC">
              <w:rPr>
                <w:rFonts w:eastAsia="Droid Sans Fallback" w:cs="Lohit Hindi"/>
                <w:color w:val="00000A"/>
                <w:lang w:eastAsia="zh-CN" w:bidi="hi-IN"/>
              </w:rPr>
              <w:t>6%</w:t>
            </w:r>
          </w:p>
        </w:tc>
        <w:tc>
          <w:tcPr>
            <w:tcW w:w="2790" w:type="dxa"/>
            <w:noWrap/>
            <w:hideMark/>
          </w:tcPr>
          <w:p w:rsidR="004B7840" w:rsidRPr="00CF00FC" w:rsidRDefault="004B7840" w:rsidP="006B58B7">
            <w:pPr>
              <w:cnfStyle w:val="000000000000" w:firstRow="0" w:lastRow="0" w:firstColumn="0" w:lastColumn="0" w:oddVBand="0" w:evenVBand="0" w:oddHBand="0" w:evenHBand="0" w:firstRowFirstColumn="0" w:firstRowLastColumn="0" w:lastRowFirstColumn="0" w:lastRowLastColumn="0"/>
              <w:rPr>
                <w:rFonts w:eastAsia="Droid Sans Fallback" w:cs="Lohit Hindi"/>
                <w:color w:val="00000A"/>
                <w:lang w:eastAsia="zh-CN" w:bidi="hi-IN"/>
              </w:rPr>
            </w:pPr>
            <w:r w:rsidRPr="00CF00FC">
              <w:rPr>
                <w:rFonts w:eastAsia="Droid Sans Fallback" w:cs="Lohit Hindi"/>
                <w:color w:val="00000A"/>
                <w:lang w:eastAsia="zh-CN" w:bidi="hi-IN"/>
              </w:rPr>
              <w:t>10%</w:t>
            </w:r>
          </w:p>
        </w:tc>
      </w:tr>
      <w:tr w:rsidR="004B7840" w:rsidRPr="00CF00FC" w:rsidTr="004B78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8" w:type="dxa"/>
            <w:noWrap/>
            <w:hideMark/>
          </w:tcPr>
          <w:p w:rsidR="004B7840" w:rsidRPr="00CF00FC" w:rsidRDefault="004B7840" w:rsidP="006B58B7">
            <w:pPr>
              <w:rPr>
                <w:b w:val="0"/>
              </w:rPr>
            </w:pPr>
            <w:r w:rsidRPr="00CF00FC">
              <w:rPr>
                <w:b w:val="0"/>
              </w:rPr>
              <w:t>Rollinsford</w:t>
            </w:r>
          </w:p>
        </w:tc>
        <w:tc>
          <w:tcPr>
            <w:tcW w:w="108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00000A"/>
                <w:lang w:eastAsia="zh-CN" w:bidi="hi-IN"/>
              </w:rPr>
            </w:pPr>
            <w:r w:rsidRPr="00CF00FC">
              <w:rPr>
                <w:rFonts w:eastAsia="Droid Sans Fallback" w:cs="Lohit Hindi"/>
                <w:color w:val="00000A"/>
                <w:lang w:eastAsia="zh-CN" w:bidi="hi-IN"/>
              </w:rPr>
              <w:t>9%</w:t>
            </w:r>
          </w:p>
        </w:tc>
        <w:tc>
          <w:tcPr>
            <w:tcW w:w="2790" w:type="dxa"/>
            <w:noWrap/>
            <w:hideMark/>
          </w:tcPr>
          <w:p w:rsidR="004B7840" w:rsidRPr="00CF00FC" w:rsidRDefault="004B7840" w:rsidP="006B58B7">
            <w:pPr>
              <w:cnfStyle w:val="000000100000" w:firstRow="0" w:lastRow="0" w:firstColumn="0" w:lastColumn="0" w:oddVBand="0" w:evenVBand="0" w:oddHBand="1" w:evenHBand="0" w:firstRowFirstColumn="0" w:firstRowLastColumn="0" w:lastRowFirstColumn="0" w:lastRowLastColumn="0"/>
              <w:rPr>
                <w:rFonts w:eastAsia="Droid Sans Fallback" w:cs="Lohit Hindi"/>
                <w:color w:val="00000A"/>
                <w:lang w:eastAsia="zh-CN" w:bidi="hi-IN"/>
              </w:rPr>
            </w:pPr>
            <w:r w:rsidRPr="00CF00FC">
              <w:rPr>
                <w:rFonts w:eastAsia="Droid Sans Fallback" w:cs="Lohit Hindi"/>
                <w:color w:val="00000A"/>
                <w:lang w:eastAsia="zh-CN" w:bidi="hi-IN"/>
              </w:rPr>
              <w:t>9%</w:t>
            </w:r>
          </w:p>
        </w:tc>
      </w:tr>
      <w:tr w:rsidR="004B7840" w:rsidRPr="00546909" w:rsidTr="006B58B7">
        <w:trPr>
          <w:trHeight w:val="252"/>
        </w:trPr>
        <w:tc>
          <w:tcPr>
            <w:cnfStyle w:val="001000000000" w:firstRow="0" w:lastRow="0" w:firstColumn="1" w:lastColumn="0" w:oddVBand="0" w:evenVBand="0" w:oddHBand="0" w:evenHBand="0" w:firstRowFirstColumn="0" w:firstRowLastColumn="0" w:lastRowFirstColumn="0" w:lastRowLastColumn="0"/>
            <w:tcW w:w="5508" w:type="dxa"/>
            <w:gridSpan w:val="3"/>
            <w:noWrap/>
          </w:tcPr>
          <w:p w:rsidR="004B7840" w:rsidRPr="00366FCE" w:rsidRDefault="004B7840" w:rsidP="006B58B7">
            <w:pPr>
              <w:jc w:val="right"/>
              <w:rPr>
                <w:b w:val="0"/>
                <w:sz w:val="16"/>
                <w:szCs w:val="16"/>
              </w:rPr>
            </w:pPr>
            <w:r w:rsidRPr="00366FCE">
              <w:rPr>
                <w:b w:val="0"/>
                <w:sz w:val="16"/>
                <w:szCs w:val="16"/>
              </w:rPr>
              <w:t>Source: CHAS, HUD 2006-2010</w:t>
            </w:r>
          </w:p>
        </w:tc>
      </w:tr>
    </w:tbl>
    <w:p w:rsidR="00937072" w:rsidRPr="00366FCE" w:rsidRDefault="00937072" w:rsidP="006B58B7">
      <w:pPr>
        <w:spacing w:after="0"/>
        <w:ind w:left="-720" w:right="-720"/>
      </w:pPr>
      <w:proofErr w:type="gramStart"/>
      <w:r w:rsidRPr="00366FCE">
        <w:t>Comprehensive Housing Affordability Strategy (CHAS) data is provided by the US Department of Housing and Urban Development</w:t>
      </w:r>
      <w:proofErr w:type="gramEnd"/>
      <w:r w:rsidRPr="00366FCE">
        <w:t xml:space="preserve"> in order to relay the necessity for housing assistance.  These data examine severe housing problems </w:t>
      </w:r>
      <w:r w:rsidR="001433ED">
        <w:t>as grouped into four categories:</w:t>
      </w:r>
      <w:r w:rsidRPr="00366FCE">
        <w:t xml:space="preserve"> incomplete kitchen facilities, incomplete plumbing facilities, more than 1.5 persons per room</w:t>
      </w:r>
      <w:r w:rsidR="00B72770">
        <w:t xml:space="preserve"> (not bedroom)</w:t>
      </w:r>
      <w:r w:rsidRPr="00366FCE">
        <w:t xml:space="preserve">, and </w:t>
      </w:r>
      <w:r w:rsidR="001433ED">
        <w:t>a</w:t>
      </w:r>
      <w:r w:rsidRPr="00366FCE">
        <w:t xml:space="preserve"> cost burden greater than 50%. Cost </w:t>
      </w:r>
      <w:r w:rsidR="00037AD8">
        <w:t>burden is</w:t>
      </w:r>
      <w:r w:rsidRPr="00366FCE">
        <w:t xml:space="preserve"> the ratio of housing costs to household income. This differs for renters and owners. For renters</w:t>
      </w:r>
      <w:r w:rsidR="001433ED">
        <w:t>,</w:t>
      </w:r>
      <w:r w:rsidRPr="00366FCE">
        <w:t xml:space="preserve"> housing costs includes gross rent, which is contract rent plus utilities.  For owners</w:t>
      </w:r>
      <w:r w:rsidR="001433ED">
        <w:t>,</w:t>
      </w:r>
      <w:r w:rsidRPr="00366FCE">
        <w:t xml:space="preserve"> housing costs include mortgage payment, utilities, association fees, insurance, and real estate taxes.</w:t>
      </w:r>
    </w:p>
    <w:p w:rsidR="00937072" w:rsidRDefault="00937072" w:rsidP="000C652F">
      <w:pPr>
        <w:ind w:left="-720" w:right="-720"/>
      </w:pPr>
      <w:r w:rsidRPr="00366FCE">
        <w:rPr>
          <w:noProof/>
        </w:rPr>
        <w:drawing>
          <wp:anchor distT="0" distB="0" distL="114300" distR="114300" simplePos="0" relativeHeight="251679744" behindDoc="0" locked="0" layoutInCell="1" allowOverlap="1" wp14:anchorId="6322F62B" wp14:editId="4F4AC82E">
            <wp:simplePos x="0" y="0"/>
            <wp:positionH relativeFrom="column">
              <wp:posOffset>-379095</wp:posOffset>
            </wp:positionH>
            <wp:positionV relativeFrom="paragraph">
              <wp:posOffset>1146175</wp:posOffset>
            </wp:positionV>
            <wp:extent cx="6713855" cy="1697990"/>
            <wp:effectExtent l="38100" t="19050" r="10795" b="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Pr="00366FCE">
        <w:t xml:space="preserve">When compared to other communities in the Strafford planning region, </w:t>
      </w:r>
      <w:r w:rsidR="00487792">
        <w:t>the extent</w:t>
      </w:r>
      <w:r w:rsidRPr="00366FCE">
        <w:t xml:space="preserve"> of severe housing problem</w:t>
      </w:r>
      <w:r w:rsidR="00713265">
        <w:t>s</w:t>
      </w:r>
      <w:r w:rsidRPr="00366FCE">
        <w:t xml:space="preserve"> </w:t>
      </w:r>
      <w:r w:rsidR="00487792">
        <w:t xml:space="preserve">in Newmarket </w:t>
      </w:r>
      <w:r w:rsidRPr="00366FCE">
        <w:t xml:space="preserve">for both renters and owners </w:t>
      </w:r>
      <w:r w:rsidR="00713265">
        <w:t>is comparable to others communities in the Strafford planning region</w:t>
      </w:r>
      <w:r w:rsidRPr="00366FCE">
        <w:t xml:space="preserve">. </w:t>
      </w:r>
      <w:r w:rsidR="00713265">
        <w:t>Newmarket’s severe housing problem</w:t>
      </w:r>
      <w:r w:rsidR="005810AC">
        <w:t xml:space="preserve"> instances </w:t>
      </w:r>
      <w:proofErr w:type="gramStart"/>
      <w:r w:rsidRPr="00366FCE">
        <w:t>may be attr</w:t>
      </w:r>
      <w:r w:rsidR="00003E46">
        <w:t>ibuted</w:t>
      </w:r>
      <w:proofErr w:type="gramEnd"/>
      <w:r w:rsidR="00003E46">
        <w:t xml:space="preserve"> to the number of student</w:t>
      </w:r>
      <w:r w:rsidRPr="00366FCE">
        <w:t xml:space="preserve"> rental units in that </w:t>
      </w:r>
      <w:r w:rsidR="00037AD8">
        <w:t xml:space="preserve">they </w:t>
      </w:r>
      <w:r w:rsidRPr="00366FCE">
        <w:t>tend to correlate with lower household income and more individuals per room.</w:t>
      </w:r>
    </w:p>
    <w:tbl>
      <w:tblPr>
        <w:tblStyle w:val="ColorfulList"/>
        <w:tblpPr w:leftFromText="180" w:rightFromText="180" w:vertAnchor="text" w:horzAnchor="page" w:tblpX="6213" w:tblpY="3176"/>
        <w:tblW w:w="5868" w:type="dxa"/>
        <w:tblLayout w:type="fixed"/>
        <w:tblLook w:val="04A0" w:firstRow="1" w:lastRow="0" w:firstColumn="1" w:lastColumn="0" w:noHBand="0" w:noVBand="1"/>
      </w:tblPr>
      <w:tblGrid>
        <w:gridCol w:w="1008"/>
        <w:gridCol w:w="450"/>
        <w:gridCol w:w="882"/>
        <w:gridCol w:w="180"/>
        <w:gridCol w:w="1008"/>
        <w:gridCol w:w="180"/>
        <w:gridCol w:w="864"/>
        <w:gridCol w:w="180"/>
        <w:gridCol w:w="1116"/>
      </w:tblGrid>
      <w:tr w:rsidR="00264558" w:rsidRPr="00546909" w:rsidTr="009E614B">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868" w:type="dxa"/>
            <w:gridSpan w:val="9"/>
            <w:noWrap/>
          </w:tcPr>
          <w:p w:rsidR="00264558" w:rsidRPr="00366FCE" w:rsidRDefault="00264558" w:rsidP="009E614B">
            <w:pPr>
              <w:rPr>
                <w:b w:val="0"/>
                <w:color w:val="auto"/>
                <w:sz w:val="28"/>
                <w:szCs w:val="28"/>
              </w:rPr>
            </w:pPr>
            <w:bookmarkStart w:id="31" w:name="_Toc388601682"/>
            <w:r w:rsidRPr="00366FCE">
              <w:rPr>
                <w:b w:val="0"/>
                <w:sz w:val="28"/>
                <w:szCs w:val="28"/>
              </w:rPr>
              <w:t xml:space="preserve">Table </w:t>
            </w:r>
            <w:r w:rsidR="001B6562">
              <w:rPr>
                <w:b w:val="0"/>
                <w:sz w:val="28"/>
                <w:szCs w:val="28"/>
              </w:rPr>
              <w:t>11</w:t>
            </w:r>
            <w:r w:rsidRPr="00366FCE">
              <w:rPr>
                <w:b w:val="0"/>
                <w:sz w:val="28"/>
                <w:szCs w:val="28"/>
              </w:rPr>
              <w:t>: Housing Cost Burden</w:t>
            </w:r>
            <w:bookmarkEnd w:id="31"/>
          </w:p>
        </w:tc>
      </w:tr>
      <w:tr w:rsidR="00264558" w:rsidRPr="00546909" w:rsidTr="009E614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08" w:type="dxa"/>
            <w:vMerge w:val="restart"/>
            <w:shd w:val="clear" w:color="auto" w:fill="auto"/>
            <w:noWrap/>
            <w:hideMark/>
          </w:tcPr>
          <w:p w:rsidR="00264558" w:rsidRPr="00546909" w:rsidRDefault="00264558" w:rsidP="009E614B">
            <w:pPr>
              <w:rPr>
                <w:sz w:val="18"/>
                <w:szCs w:val="18"/>
              </w:rPr>
            </w:pPr>
            <w:r w:rsidRPr="00546909">
              <w:rPr>
                <w:sz w:val="18"/>
                <w:szCs w:val="18"/>
              </w:rPr>
              <w:t> </w:t>
            </w:r>
          </w:p>
        </w:tc>
        <w:tc>
          <w:tcPr>
            <w:tcW w:w="2520" w:type="dxa"/>
            <w:gridSpan w:val="4"/>
            <w:noWrap/>
            <w:hideMark/>
          </w:tcPr>
          <w:p w:rsidR="00264558" w:rsidRPr="009E614B" w:rsidRDefault="009E614B" w:rsidP="009E614B">
            <w:pPr>
              <w:cnfStyle w:val="000000100000" w:firstRow="0" w:lastRow="0" w:firstColumn="0" w:lastColumn="0" w:oddVBand="0" w:evenVBand="0" w:oddHBand="1" w:evenHBand="0" w:firstRowFirstColumn="0" w:firstRowLastColumn="0" w:lastRowFirstColumn="0" w:lastRowLastColumn="0"/>
              <w:rPr>
                <w:rFonts w:eastAsiaTheme="majorEastAsia"/>
                <w:i/>
                <w:sz w:val="18"/>
                <w:szCs w:val="18"/>
              </w:rPr>
            </w:pPr>
            <w:r w:rsidRPr="009E614B">
              <w:rPr>
                <w:rFonts w:eastAsiaTheme="majorEastAsia"/>
                <w:i/>
                <w:sz w:val="18"/>
                <w:szCs w:val="18"/>
              </w:rPr>
              <w:t xml:space="preserve">Between </w:t>
            </w:r>
            <w:r w:rsidR="00264558" w:rsidRPr="009E614B">
              <w:rPr>
                <w:rFonts w:eastAsiaTheme="majorEastAsia"/>
                <w:i/>
                <w:sz w:val="18"/>
                <w:szCs w:val="18"/>
              </w:rPr>
              <w:t xml:space="preserve">30% </w:t>
            </w:r>
            <w:r w:rsidRPr="009E614B">
              <w:rPr>
                <w:rFonts w:eastAsiaTheme="majorEastAsia"/>
                <w:i/>
                <w:sz w:val="18"/>
                <w:szCs w:val="18"/>
              </w:rPr>
              <w:t>and</w:t>
            </w:r>
            <w:r w:rsidR="00264558" w:rsidRPr="009E614B">
              <w:rPr>
                <w:rFonts w:eastAsiaTheme="majorEastAsia"/>
                <w:i/>
                <w:sz w:val="18"/>
                <w:szCs w:val="18"/>
              </w:rPr>
              <w:t xml:space="preserve"> 50%</w:t>
            </w:r>
            <w:r w:rsidRPr="009E614B">
              <w:rPr>
                <w:rFonts w:eastAsiaTheme="majorEastAsia"/>
                <w:i/>
                <w:sz w:val="18"/>
                <w:szCs w:val="18"/>
              </w:rPr>
              <w:t xml:space="preserve"> of Income paid to Housing</w:t>
            </w:r>
          </w:p>
        </w:tc>
        <w:tc>
          <w:tcPr>
            <w:tcW w:w="2340" w:type="dxa"/>
            <w:gridSpan w:val="4"/>
          </w:tcPr>
          <w:p w:rsidR="00264558" w:rsidRPr="009E614B" w:rsidRDefault="009E614B" w:rsidP="009E614B">
            <w:pPr>
              <w:cnfStyle w:val="000000100000" w:firstRow="0" w:lastRow="0" w:firstColumn="0" w:lastColumn="0" w:oddVBand="0" w:evenVBand="0" w:oddHBand="1" w:evenHBand="0" w:firstRowFirstColumn="0" w:firstRowLastColumn="0" w:lastRowFirstColumn="0" w:lastRowLastColumn="0"/>
              <w:rPr>
                <w:rFonts w:eastAsiaTheme="majorEastAsia"/>
                <w:i/>
                <w:sz w:val="18"/>
                <w:szCs w:val="18"/>
              </w:rPr>
            </w:pPr>
            <w:r w:rsidRPr="009E614B">
              <w:rPr>
                <w:rFonts w:eastAsiaTheme="majorEastAsia"/>
                <w:i/>
                <w:sz w:val="18"/>
                <w:szCs w:val="18"/>
              </w:rPr>
              <w:t xml:space="preserve">Greater than </w:t>
            </w:r>
            <w:r w:rsidR="00264558" w:rsidRPr="009E614B">
              <w:rPr>
                <w:rFonts w:eastAsiaTheme="majorEastAsia"/>
                <w:i/>
                <w:sz w:val="18"/>
                <w:szCs w:val="18"/>
              </w:rPr>
              <w:t>50%</w:t>
            </w:r>
            <w:r w:rsidRPr="009E614B">
              <w:rPr>
                <w:rFonts w:eastAsiaTheme="majorEastAsia"/>
                <w:i/>
                <w:sz w:val="18"/>
                <w:szCs w:val="18"/>
              </w:rPr>
              <w:t xml:space="preserve"> of Income paid to Housing</w:t>
            </w:r>
          </w:p>
        </w:tc>
      </w:tr>
      <w:tr w:rsidR="00264558" w:rsidRPr="00546909" w:rsidTr="009E614B">
        <w:trPr>
          <w:trHeight w:val="300"/>
        </w:trPr>
        <w:tc>
          <w:tcPr>
            <w:cnfStyle w:val="001000000000" w:firstRow="0" w:lastRow="0" w:firstColumn="1" w:lastColumn="0" w:oddVBand="0" w:evenVBand="0" w:oddHBand="0" w:evenHBand="0" w:firstRowFirstColumn="0" w:firstRowLastColumn="0" w:lastRowFirstColumn="0" w:lastRowLastColumn="0"/>
            <w:tcW w:w="1008" w:type="dxa"/>
            <w:vMerge/>
            <w:shd w:val="clear" w:color="auto" w:fill="auto"/>
            <w:noWrap/>
            <w:hideMark/>
          </w:tcPr>
          <w:p w:rsidR="00264558" w:rsidRPr="00546909" w:rsidRDefault="00264558" w:rsidP="009E614B">
            <w:pPr>
              <w:rPr>
                <w:sz w:val="18"/>
                <w:szCs w:val="18"/>
              </w:rPr>
            </w:pPr>
          </w:p>
        </w:tc>
        <w:tc>
          <w:tcPr>
            <w:tcW w:w="1332" w:type="dxa"/>
            <w:gridSpan w:val="2"/>
            <w:noWrap/>
            <w:hideMark/>
          </w:tcPr>
          <w:p w:rsidR="00264558" w:rsidRPr="00264558" w:rsidRDefault="00264558" w:rsidP="009E614B">
            <w:pPr>
              <w:jc w:val="center"/>
              <w:cnfStyle w:val="000000000000" w:firstRow="0" w:lastRow="0" w:firstColumn="0" w:lastColumn="0" w:oddVBand="0" w:evenVBand="0" w:oddHBand="0" w:evenHBand="0" w:firstRowFirstColumn="0" w:firstRowLastColumn="0" w:lastRowFirstColumn="0" w:lastRowLastColumn="0"/>
              <w:rPr>
                <w:rFonts w:eastAsiaTheme="majorEastAsia"/>
              </w:rPr>
            </w:pPr>
            <w:r w:rsidRPr="00264558">
              <w:rPr>
                <w:rFonts w:eastAsiaTheme="majorEastAsia"/>
              </w:rPr>
              <w:t>Owner</w:t>
            </w:r>
          </w:p>
        </w:tc>
        <w:tc>
          <w:tcPr>
            <w:tcW w:w="1188" w:type="dxa"/>
            <w:gridSpan w:val="2"/>
            <w:noWrap/>
            <w:hideMark/>
          </w:tcPr>
          <w:p w:rsidR="00264558" w:rsidRPr="00264558" w:rsidRDefault="00264558" w:rsidP="009E614B">
            <w:pPr>
              <w:jc w:val="center"/>
              <w:cnfStyle w:val="000000000000" w:firstRow="0" w:lastRow="0" w:firstColumn="0" w:lastColumn="0" w:oddVBand="0" w:evenVBand="0" w:oddHBand="0" w:evenHBand="0" w:firstRowFirstColumn="0" w:firstRowLastColumn="0" w:lastRowFirstColumn="0" w:lastRowLastColumn="0"/>
              <w:rPr>
                <w:rFonts w:eastAsiaTheme="majorEastAsia"/>
              </w:rPr>
            </w:pPr>
            <w:r w:rsidRPr="00264558">
              <w:rPr>
                <w:rFonts w:eastAsiaTheme="majorEastAsia"/>
              </w:rPr>
              <w:t>Renter</w:t>
            </w:r>
          </w:p>
        </w:tc>
        <w:tc>
          <w:tcPr>
            <w:tcW w:w="1044" w:type="dxa"/>
            <w:gridSpan w:val="2"/>
          </w:tcPr>
          <w:p w:rsidR="00264558" w:rsidRPr="00264558" w:rsidRDefault="00264558" w:rsidP="009E614B">
            <w:pPr>
              <w:jc w:val="center"/>
              <w:cnfStyle w:val="000000000000" w:firstRow="0" w:lastRow="0" w:firstColumn="0" w:lastColumn="0" w:oddVBand="0" w:evenVBand="0" w:oddHBand="0" w:evenHBand="0" w:firstRowFirstColumn="0" w:firstRowLastColumn="0" w:lastRowFirstColumn="0" w:lastRowLastColumn="0"/>
              <w:rPr>
                <w:rFonts w:eastAsiaTheme="majorEastAsia"/>
              </w:rPr>
            </w:pPr>
            <w:r w:rsidRPr="00264558">
              <w:rPr>
                <w:rFonts w:eastAsiaTheme="majorEastAsia"/>
              </w:rPr>
              <w:t>Owner</w:t>
            </w:r>
          </w:p>
        </w:tc>
        <w:tc>
          <w:tcPr>
            <w:tcW w:w="1296" w:type="dxa"/>
            <w:gridSpan w:val="2"/>
          </w:tcPr>
          <w:p w:rsidR="00264558" w:rsidRPr="00264558" w:rsidRDefault="00264558" w:rsidP="009E614B">
            <w:pPr>
              <w:jc w:val="center"/>
              <w:cnfStyle w:val="000000000000" w:firstRow="0" w:lastRow="0" w:firstColumn="0" w:lastColumn="0" w:oddVBand="0" w:evenVBand="0" w:oddHBand="0" w:evenHBand="0" w:firstRowFirstColumn="0" w:firstRowLastColumn="0" w:lastRowFirstColumn="0" w:lastRowLastColumn="0"/>
              <w:rPr>
                <w:rFonts w:eastAsiaTheme="majorEastAsia"/>
              </w:rPr>
            </w:pPr>
            <w:r w:rsidRPr="00264558">
              <w:rPr>
                <w:rFonts w:eastAsiaTheme="majorEastAsia"/>
              </w:rPr>
              <w:t>Renter</w:t>
            </w:r>
          </w:p>
        </w:tc>
      </w:tr>
      <w:tr w:rsidR="00264558" w:rsidRPr="00546909" w:rsidTr="009E614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CF00FC" w:rsidRDefault="00264558" w:rsidP="009E614B">
            <w:pPr>
              <w:rPr>
                <w:b w:val="0"/>
              </w:rPr>
            </w:pPr>
            <w:r w:rsidRPr="00CF00FC">
              <w:rPr>
                <w:b w:val="0"/>
              </w:rPr>
              <w:t>Barrington</w:t>
            </w:r>
          </w:p>
        </w:tc>
        <w:tc>
          <w:tcPr>
            <w:tcW w:w="1062" w:type="dxa"/>
            <w:gridSpan w:val="2"/>
            <w:noWrap/>
            <w:hideMark/>
          </w:tcPr>
          <w:p w:rsidR="00264558" w:rsidRPr="00CF00FC" w:rsidRDefault="00264558" w:rsidP="009E614B">
            <w:pPr>
              <w:cnfStyle w:val="000000100000" w:firstRow="0" w:lastRow="0" w:firstColumn="0" w:lastColumn="0" w:oddVBand="0" w:evenVBand="0" w:oddHBand="1" w:evenHBand="0" w:firstRowFirstColumn="0" w:firstRowLastColumn="0" w:lastRowFirstColumn="0" w:lastRowLastColumn="0"/>
              <w:rPr>
                <w:rFonts w:eastAsia="Droid Sans Fallback" w:cs="Lohit Hindi"/>
                <w:lang w:eastAsia="zh-CN" w:bidi="hi-IN"/>
              </w:rPr>
            </w:pPr>
            <w:r w:rsidRPr="00CF00FC">
              <w:rPr>
                <w:rFonts w:eastAsia="Droid Sans Fallback" w:cs="Lohit Hindi"/>
                <w:lang w:eastAsia="zh-CN" w:bidi="hi-IN"/>
              </w:rPr>
              <w:t>17%</w:t>
            </w:r>
          </w:p>
        </w:tc>
        <w:tc>
          <w:tcPr>
            <w:tcW w:w="1188" w:type="dxa"/>
            <w:gridSpan w:val="2"/>
            <w:noWrap/>
            <w:hideMark/>
          </w:tcPr>
          <w:p w:rsidR="00264558" w:rsidRPr="00264558" w:rsidRDefault="00264558" w:rsidP="009E614B">
            <w:pPr>
              <w:cnfStyle w:val="000000100000" w:firstRow="0" w:lastRow="0" w:firstColumn="0" w:lastColumn="0" w:oddVBand="0" w:evenVBand="0" w:oddHBand="1" w:evenHBand="0" w:firstRowFirstColumn="0" w:firstRowLastColumn="0" w:lastRowFirstColumn="0" w:lastRowLastColumn="0"/>
              <w:rPr>
                <w:rFonts w:eastAsia="Droid Sans Fallback" w:cs="Lohit Hindi"/>
                <w:lang w:eastAsia="zh-CN" w:bidi="hi-IN"/>
              </w:rPr>
            </w:pPr>
            <w:r w:rsidRPr="00264558">
              <w:rPr>
                <w:rFonts w:eastAsia="Droid Sans Fallback" w:cs="Lohit Hindi"/>
                <w:lang w:eastAsia="zh-CN" w:bidi="hi-IN"/>
              </w:rPr>
              <w:t>3%</w:t>
            </w:r>
          </w:p>
        </w:tc>
        <w:tc>
          <w:tcPr>
            <w:tcW w:w="1044" w:type="dxa"/>
            <w:gridSpan w:val="2"/>
          </w:tcPr>
          <w:p w:rsidR="00264558" w:rsidRPr="00264558"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lang w:eastAsia="zh-CN" w:bidi="hi-IN"/>
              </w:rPr>
            </w:pPr>
            <w:r w:rsidRPr="00264558">
              <w:rPr>
                <w:rFonts w:eastAsiaTheme="majorEastAsia" w:cs="Lohit Hindi"/>
                <w:lang w:eastAsia="zh-CN" w:bidi="hi-IN"/>
              </w:rPr>
              <w:t>5%</w:t>
            </w:r>
          </w:p>
        </w:tc>
        <w:tc>
          <w:tcPr>
            <w:tcW w:w="1116" w:type="dxa"/>
          </w:tcPr>
          <w:p w:rsidR="00264558" w:rsidRPr="00264558"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lang w:eastAsia="zh-CN" w:bidi="hi-IN"/>
              </w:rPr>
            </w:pPr>
            <w:r w:rsidRPr="00264558">
              <w:rPr>
                <w:rFonts w:eastAsiaTheme="majorEastAsia" w:cs="Lohit Hindi"/>
                <w:lang w:eastAsia="zh-CN" w:bidi="hi-IN"/>
              </w:rPr>
              <w:t>3%</w:t>
            </w:r>
          </w:p>
        </w:tc>
      </w:tr>
      <w:tr w:rsidR="00264558" w:rsidRPr="00546909" w:rsidTr="009E614B">
        <w:trPr>
          <w:trHeight w:val="73"/>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CF00FC" w:rsidRDefault="00264558" w:rsidP="009E614B">
            <w:pPr>
              <w:rPr>
                <w:b w:val="0"/>
              </w:rPr>
            </w:pPr>
            <w:r w:rsidRPr="00CF00FC">
              <w:rPr>
                <w:b w:val="0"/>
              </w:rPr>
              <w:t>Dover</w:t>
            </w:r>
          </w:p>
        </w:tc>
        <w:tc>
          <w:tcPr>
            <w:tcW w:w="1062" w:type="dxa"/>
            <w:gridSpan w:val="2"/>
            <w:noWrap/>
            <w:hideMark/>
          </w:tcPr>
          <w:p w:rsidR="00264558" w:rsidRPr="00CF00FC" w:rsidRDefault="00264558" w:rsidP="009E614B">
            <w:pPr>
              <w:cnfStyle w:val="000000000000" w:firstRow="0" w:lastRow="0" w:firstColumn="0" w:lastColumn="0" w:oddVBand="0" w:evenVBand="0" w:oddHBand="0" w:evenHBand="0" w:firstRowFirstColumn="0" w:firstRowLastColumn="0" w:lastRowFirstColumn="0" w:lastRowLastColumn="0"/>
              <w:rPr>
                <w:rFonts w:eastAsia="Droid Sans Fallback" w:cs="Lohit Hindi"/>
                <w:lang w:eastAsia="zh-CN" w:bidi="hi-IN"/>
              </w:rPr>
            </w:pPr>
            <w:r w:rsidRPr="00CF00FC">
              <w:rPr>
                <w:rFonts w:eastAsia="Droid Sans Fallback" w:cs="Lohit Hindi"/>
                <w:lang w:eastAsia="zh-CN" w:bidi="hi-IN"/>
              </w:rPr>
              <w:t>13%</w:t>
            </w:r>
          </w:p>
        </w:tc>
        <w:tc>
          <w:tcPr>
            <w:tcW w:w="1188" w:type="dxa"/>
            <w:gridSpan w:val="2"/>
            <w:noWrap/>
            <w:hideMark/>
          </w:tcPr>
          <w:p w:rsidR="00264558" w:rsidRPr="00264558" w:rsidRDefault="00264558" w:rsidP="009E614B">
            <w:pPr>
              <w:cnfStyle w:val="000000000000" w:firstRow="0" w:lastRow="0" w:firstColumn="0" w:lastColumn="0" w:oddVBand="0" w:evenVBand="0" w:oddHBand="0" w:evenHBand="0" w:firstRowFirstColumn="0" w:firstRowLastColumn="0" w:lastRowFirstColumn="0" w:lastRowLastColumn="0"/>
              <w:rPr>
                <w:rFonts w:eastAsia="Droid Sans Fallback" w:cs="Lohit Hindi"/>
                <w:lang w:eastAsia="zh-CN" w:bidi="hi-IN"/>
              </w:rPr>
            </w:pPr>
            <w:r w:rsidRPr="00264558">
              <w:rPr>
                <w:rFonts w:eastAsia="Droid Sans Fallback" w:cs="Lohit Hindi"/>
                <w:lang w:eastAsia="zh-CN" w:bidi="hi-IN"/>
              </w:rPr>
              <w:t>12%</w:t>
            </w:r>
          </w:p>
        </w:tc>
        <w:tc>
          <w:tcPr>
            <w:tcW w:w="1044" w:type="dxa"/>
            <w:gridSpan w:val="2"/>
          </w:tcPr>
          <w:p w:rsidR="00264558" w:rsidRPr="00264558"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lang w:eastAsia="zh-CN" w:bidi="hi-IN"/>
              </w:rPr>
            </w:pPr>
            <w:r w:rsidRPr="00264558">
              <w:rPr>
                <w:rFonts w:eastAsiaTheme="majorEastAsia" w:cs="Lohit Hindi"/>
                <w:lang w:eastAsia="zh-CN" w:bidi="hi-IN"/>
              </w:rPr>
              <w:t>6%</w:t>
            </w:r>
          </w:p>
        </w:tc>
        <w:tc>
          <w:tcPr>
            <w:tcW w:w="1116" w:type="dxa"/>
          </w:tcPr>
          <w:p w:rsidR="00264558" w:rsidRPr="00264558"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lang w:eastAsia="zh-CN" w:bidi="hi-IN"/>
              </w:rPr>
            </w:pPr>
            <w:r w:rsidRPr="00264558">
              <w:rPr>
                <w:rFonts w:eastAsiaTheme="majorEastAsia" w:cs="Lohit Hindi"/>
                <w:lang w:eastAsia="zh-CN" w:bidi="hi-IN"/>
              </w:rPr>
              <w:t>9%</w:t>
            </w:r>
          </w:p>
        </w:tc>
      </w:tr>
      <w:tr w:rsidR="00264558" w:rsidRPr="00546909" w:rsidTr="009E614B">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CF00FC" w:rsidRDefault="00264558" w:rsidP="009E614B">
            <w:pPr>
              <w:rPr>
                <w:b w:val="0"/>
                <w:color w:val="auto"/>
              </w:rPr>
            </w:pPr>
            <w:r w:rsidRPr="00CF00FC">
              <w:rPr>
                <w:b w:val="0"/>
                <w:color w:val="auto"/>
              </w:rPr>
              <w:t>Durham</w:t>
            </w:r>
          </w:p>
        </w:tc>
        <w:tc>
          <w:tcPr>
            <w:tcW w:w="1062" w:type="dxa"/>
            <w:gridSpan w:val="2"/>
            <w:noWrap/>
            <w:hideMark/>
          </w:tcPr>
          <w:p w:rsidR="00264558" w:rsidRPr="00CF00FC" w:rsidRDefault="00264558" w:rsidP="009E614B">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7%</w:t>
            </w:r>
          </w:p>
        </w:tc>
        <w:tc>
          <w:tcPr>
            <w:tcW w:w="1188" w:type="dxa"/>
            <w:gridSpan w:val="2"/>
            <w:noWrap/>
            <w:hideMark/>
          </w:tcPr>
          <w:p w:rsidR="00264558" w:rsidRPr="0056694A" w:rsidRDefault="00264558" w:rsidP="009E614B">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56694A">
              <w:rPr>
                <w:rFonts w:eastAsia="Droid Sans Fallback" w:cs="Lohit Hindi"/>
                <w:color w:val="auto"/>
                <w:lang w:eastAsia="zh-CN" w:bidi="hi-IN"/>
              </w:rPr>
              <w:t>7%</w:t>
            </w:r>
          </w:p>
        </w:tc>
        <w:tc>
          <w:tcPr>
            <w:tcW w:w="1044" w:type="dxa"/>
            <w:gridSpan w:val="2"/>
          </w:tcPr>
          <w:p w:rsidR="00264558" w:rsidRPr="0056694A"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8%</w:t>
            </w:r>
          </w:p>
        </w:tc>
        <w:tc>
          <w:tcPr>
            <w:tcW w:w="1116" w:type="dxa"/>
          </w:tcPr>
          <w:p w:rsidR="00264558" w:rsidRPr="0056694A"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18%</w:t>
            </w:r>
          </w:p>
        </w:tc>
      </w:tr>
      <w:tr w:rsidR="00264558" w:rsidRPr="00546909" w:rsidTr="009E614B">
        <w:trPr>
          <w:trHeight w:val="73"/>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CF00FC" w:rsidRDefault="00264558" w:rsidP="009E614B">
            <w:pPr>
              <w:rPr>
                <w:b w:val="0"/>
                <w:color w:val="auto"/>
              </w:rPr>
            </w:pPr>
            <w:r w:rsidRPr="00CF00FC">
              <w:rPr>
                <w:b w:val="0"/>
                <w:color w:val="auto"/>
              </w:rPr>
              <w:t>Madbury</w:t>
            </w:r>
          </w:p>
        </w:tc>
        <w:tc>
          <w:tcPr>
            <w:tcW w:w="1062" w:type="dxa"/>
            <w:gridSpan w:val="2"/>
            <w:noWrap/>
            <w:hideMark/>
          </w:tcPr>
          <w:p w:rsidR="00264558" w:rsidRPr="00CF00FC" w:rsidRDefault="00264558" w:rsidP="009E614B">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CF00FC">
              <w:rPr>
                <w:rFonts w:eastAsia="Droid Sans Fallback" w:cs="Lohit Hindi"/>
                <w:color w:val="auto"/>
                <w:lang w:eastAsia="zh-CN" w:bidi="hi-IN"/>
              </w:rPr>
              <w:t>19%</w:t>
            </w:r>
          </w:p>
        </w:tc>
        <w:tc>
          <w:tcPr>
            <w:tcW w:w="1188" w:type="dxa"/>
            <w:gridSpan w:val="2"/>
            <w:noWrap/>
            <w:hideMark/>
          </w:tcPr>
          <w:p w:rsidR="00264558" w:rsidRPr="0056694A" w:rsidRDefault="00264558" w:rsidP="009E614B">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56694A">
              <w:rPr>
                <w:rFonts w:eastAsia="Droid Sans Fallback" w:cs="Lohit Hindi"/>
                <w:color w:val="auto"/>
                <w:lang w:eastAsia="zh-CN" w:bidi="hi-IN"/>
              </w:rPr>
              <w:t>5%</w:t>
            </w:r>
          </w:p>
        </w:tc>
        <w:tc>
          <w:tcPr>
            <w:tcW w:w="1044" w:type="dxa"/>
            <w:gridSpan w:val="2"/>
          </w:tcPr>
          <w:p w:rsidR="00264558" w:rsidRPr="0056694A"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6%</w:t>
            </w:r>
          </w:p>
        </w:tc>
        <w:tc>
          <w:tcPr>
            <w:tcW w:w="1116" w:type="dxa"/>
          </w:tcPr>
          <w:p w:rsidR="00264558" w:rsidRPr="0056694A"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7%</w:t>
            </w:r>
          </w:p>
        </w:tc>
      </w:tr>
      <w:tr w:rsidR="00264558" w:rsidRPr="00546909" w:rsidTr="009E614B">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B72770" w:rsidRDefault="00264558" w:rsidP="009E614B">
            <w:pPr>
              <w:rPr>
                <w:color w:val="auto"/>
              </w:rPr>
            </w:pPr>
            <w:r w:rsidRPr="00B72770">
              <w:rPr>
                <w:color w:val="auto"/>
              </w:rPr>
              <w:t>Newmarket</w:t>
            </w:r>
          </w:p>
        </w:tc>
        <w:tc>
          <w:tcPr>
            <w:tcW w:w="1062" w:type="dxa"/>
            <w:gridSpan w:val="2"/>
            <w:noWrap/>
            <w:hideMark/>
          </w:tcPr>
          <w:p w:rsidR="00264558" w:rsidRPr="00B72770" w:rsidRDefault="00264558" w:rsidP="009E614B">
            <w:pPr>
              <w:cnfStyle w:val="000000100000" w:firstRow="0" w:lastRow="0" w:firstColumn="0" w:lastColumn="0" w:oddVBand="0" w:evenVBand="0" w:oddHBand="1" w:evenHBand="0" w:firstRowFirstColumn="0" w:firstRowLastColumn="0" w:lastRowFirstColumn="0" w:lastRowLastColumn="0"/>
              <w:rPr>
                <w:rFonts w:eastAsia="Droid Sans Fallback" w:cs="Lohit Hindi"/>
                <w:b/>
                <w:color w:val="auto"/>
                <w:lang w:eastAsia="zh-CN" w:bidi="hi-IN"/>
              </w:rPr>
            </w:pPr>
            <w:r w:rsidRPr="00B72770">
              <w:rPr>
                <w:rFonts w:eastAsia="Droid Sans Fallback" w:cs="Lohit Hindi"/>
                <w:b/>
                <w:color w:val="auto"/>
                <w:lang w:eastAsia="zh-CN" w:bidi="hi-IN"/>
              </w:rPr>
              <w:t>11%</w:t>
            </w:r>
          </w:p>
        </w:tc>
        <w:tc>
          <w:tcPr>
            <w:tcW w:w="1188" w:type="dxa"/>
            <w:gridSpan w:val="2"/>
            <w:noWrap/>
            <w:hideMark/>
          </w:tcPr>
          <w:p w:rsidR="00264558" w:rsidRPr="00B72770" w:rsidRDefault="00264558" w:rsidP="009E614B">
            <w:pPr>
              <w:cnfStyle w:val="000000100000" w:firstRow="0" w:lastRow="0" w:firstColumn="0" w:lastColumn="0" w:oddVBand="0" w:evenVBand="0" w:oddHBand="1" w:evenHBand="0" w:firstRowFirstColumn="0" w:firstRowLastColumn="0" w:lastRowFirstColumn="0" w:lastRowLastColumn="0"/>
              <w:rPr>
                <w:rFonts w:eastAsia="Droid Sans Fallback" w:cs="Lohit Hindi"/>
                <w:b/>
                <w:color w:val="auto"/>
                <w:lang w:eastAsia="zh-CN" w:bidi="hi-IN"/>
              </w:rPr>
            </w:pPr>
            <w:r w:rsidRPr="00B72770">
              <w:rPr>
                <w:rFonts w:eastAsia="Droid Sans Fallback" w:cs="Lohit Hindi"/>
                <w:b/>
                <w:color w:val="auto"/>
                <w:lang w:eastAsia="zh-CN" w:bidi="hi-IN"/>
              </w:rPr>
              <w:t>8%</w:t>
            </w:r>
          </w:p>
        </w:tc>
        <w:tc>
          <w:tcPr>
            <w:tcW w:w="1044" w:type="dxa"/>
            <w:gridSpan w:val="2"/>
          </w:tcPr>
          <w:p w:rsidR="00264558" w:rsidRPr="00B72770"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b/>
                <w:color w:val="auto"/>
                <w:lang w:eastAsia="zh-CN" w:bidi="hi-IN"/>
              </w:rPr>
            </w:pPr>
            <w:r w:rsidRPr="00B72770">
              <w:rPr>
                <w:rFonts w:eastAsiaTheme="majorEastAsia" w:cs="Lohit Hindi"/>
                <w:b/>
                <w:color w:val="auto"/>
                <w:lang w:eastAsia="zh-CN" w:bidi="hi-IN"/>
              </w:rPr>
              <w:t>7%</w:t>
            </w:r>
          </w:p>
        </w:tc>
        <w:tc>
          <w:tcPr>
            <w:tcW w:w="1116" w:type="dxa"/>
          </w:tcPr>
          <w:p w:rsidR="00264558" w:rsidRPr="00B72770"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b/>
                <w:color w:val="auto"/>
                <w:lang w:eastAsia="zh-CN" w:bidi="hi-IN"/>
              </w:rPr>
            </w:pPr>
            <w:r w:rsidRPr="00B72770">
              <w:rPr>
                <w:rFonts w:eastAsiaTheme="majorEastAsia" w:cs="Lohit Hindi"/>
                <w:b/>
                <w:color w:val="auto"/>
                <w:lang w:eastAsia="zh-CN" w:bidi="hi-IN"/>
              </w:rPr>
              <w:t>9%</w:t>
            </w:r>
          </w:p>
        </w:tc>
      </w:tr>
      <w:tr w:rsidR="00264558" w:rsidRPr="00546909" w:rsidTr="009E614B">
        <w:trPr>
          <w:trHeight w:val="73"/>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CF00FC" w:rsidRDefault="00264558" w:rsidP="009E614B">
            <w:pPr>
              <w:rPr>
                <w:b w:val="0"/>
                <w:color w:val="auto"/>
              </w:rPr>
            </w:pPr>
            <w:r w:rsidRPr="00CF00FC">
              <w:rPr>
                <w:b w:val="0"/>
                <w:color w:val="auto"/>
              </w:rPr>
              <w:t>Northwood</w:t>
            </w:r>
          </w:p>
        </w:tc>
        <w:tc>
          <w:tcPr>
            <w:tcW w:w="1062" w:type="dxa"/>
            <w:gridSpan w:val="2"/>
            <w:noWrap/>
            <w:hideMark/>
          </w:tcPr>
          <w:p w:rsidR="00264558" w:rsidRPr="00CF00FC"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color w:val="auto"/>
                <w:lang w:eastAsia="zh-CN" w:bidi="hi-IN"/>
              </w:rPr>
            </w:pPr>
            <w:r w:rsidRPr="00CF00FC">
              <w:rPr>
                <w:rFonts w:eastAsiaTheme="majorEastAsia" w:cs="Lohit Hindi"/>
                <w:color w:val="auto"/>
                <w:lang w:eastAsia="zh-CN" w:bidi="hi-IN"/>
              </w:rPr>
              <w:t>20%</w:t>
            </w:r>
          </w:p>
        </w:tc>
        <w:tc>
          <w:tcPr>
            <w:tcW w:w="1188" w:type="dxa"/>
            <w:gridSpan w:val="2"/>
            <w:noWrap/>
            <w:hideMark/>
          </w:tcPr>
          <w:p w:rsidR="00264558" w:rsidRPr="0056694A"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1%</w:t>
            </w:r>
          </w:p>
        </w:tc>
        <w:tc>
          <w:tcPr>
            <w:tcW w:w="1044" w:type="dxa"/>
            <w:gridSpan w:val="2"/>
          </w:tcPr>
          <w:p w:rsidR="00264558" w:rsidRPr="0056694A"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8%</w:t>
            </w:r>
          </w:p>
        </w:tc>
        <w:tc>
          <w:tcPr>
            <w:tcW w:w="1116" w:type="dxa"/>
          </w:tcPr>
          <w:p w:rsidR="00264558" w:rsidRPr="0056694A"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1%</w:t>
            </w:r>
          </w:p>
        </w:tc>
      </w:tr>
      <w:tr w:rsidR="00264558" w:rsidRPr="00546909" w:rsidTr="009E614B">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CF00FC" w:rsidRDefault="00264558" w:rsidP="009E614B">
            <w:pPr>
              <w:rPr>
                <w:b w:val="0"/>
                <w:color w:val="auto"/>
              </w:rPr>
            </w:pPr>
            <w:r w:rsidRPr="00CF00FC">
              <w:rPr>
                <w:b w:val="0"/>
                <w:color w:val="auto"/>
              </w:rPr>
              <w:t>Rochester</w:t>
            </w:r>
          </w:p>
        </w:tc>
        <w:tc>
          <w:tcPr>
            <w:tcW w:w="1062" w:type="dxa"/>
            <w:gridSpan w:val="2"/>
            <w:noWrap/>
            <w:hideMark/>
          </w:tcPr>
          <w:p w:rsidR="00264558" w:rsidRPr="00CF00FC"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color w:val="auto"/>
                <w:lang w:eastAsia="zh-CN" w:bidi="hi-IN"/>
              </w:rPr>
            </w:pPr>
            <w:r w:rsidRPr="00CF00FC">
              <w:rPr>
                <w:rFonts w:eastAsiaTheme="majorEastAsia" w:cs="Lohit Hindi"/>
                <w:color w:val="auto"/>
                <w:lang w:eastAsia="zh-CN" w:bidi="hi-IN"/>
              </w:rPr>
              <w:t>16%</w:t>
            </w:r>
          </w:p>
        </w:tc>
        <w:tc>
          <w:tcPr>
            <w:tcW w:w="1188" w:type="dxa"/>
            <w:gridSpan w:val="2"/>
            <w:noWrap/>
            <w:hideMark/>
          </w:tcPr>
          <w:p w:rsidR="00264558" w:rsidRPr="0056694A"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8%</w:t>
            </w:r>
          </w:p>
        </w:tc>
        <w:tc>
          <w:tcPr>
            <w:tcW w:w="1044" w:type="dxa"/>
            <w:gridSpan w:val="2"/>
          </w:tcPr>
          <w:p w:rsidR="00264558" w:rsidRPr="0056694A"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6%</w:t>
            </w:r>
          </w:p>
        </w:tc>
        <w:tc>
          <w:tcPr>
            <w:tcW w:w="1116" w:type="dxa"/>
          </w:tcPr>
          <w:p w:rsidR="00264558" w:rsidRPr="0056694A" w:rsidRDefault="00264558" w:rsidP="009E614B">
            <w:pPr>
              <w:cnfStyle w:val="000000100000" w:firstRow="0" w:lastRow="0" w:firstColumn="0" w:lastColumn="0" w:oddVBand="0" w:evenVBand="0" w:oddHBand="1" w:evenHBand="0" w:firstRowFirstColumn="0" w:firstRowLastColumn="0" w:lastRowFirstColumn="0" w:lastRowLastColumn="0"/>
              <w:rPr>
                <w:rFonts w:eastAsiaTheme="majorEastAsia" w:cs="Lohit Hindi"/>
                <w:color w:val="auto"/>
                <w:lang w:eastAsia="zh-CN" w:bidi="hi-IN"/>
              </w:rPr>
            </w:pPr>
            <w:r w:rsidRPr="0056694A">
              <w:rPr>
                <w:rFonts w:eastAsiaTheme="majorEastAsia" w:cs="Lohit Hindi"/>
                <w:color w:val="auto"/>
                <w:lang w:eastAsia="zh-CN" w:bidi="hi-IN"/>
              </w:rPr>
              <w:t>8%</w:t>
            </w:r>
          </w:p>
        </w:tc>
      </w:tr>
      <w:tr w:rsidR="00264558" w:rsidRPr="00546909" w:rsidTr="009E614B">
        <w:trPr>
          <w:trHeight w:val="250"/>
        </w:trPr>
        <w:tc>
          <w:tcPr>
            <w:cnfStyle w:val="001000000000" w:firstRow="0" w:lastRow="0" w:firstColumn="1" w:lastColumn="0" w:oddVBand="0" w:evenVBand="0" w:oddHBand="0" w:evenHBand="0" w:firstRowFirstColumn="0" w:firstRowLastColumn="0" w:lastRowFirstColumn="0" w:lastRowLastColumn="0"/>
            <w:tcW w:w="1458" w:type="dxa"/>
            <w:gridSpan w:val="2"/>
            <w:noWrap/>
            <w:hideMark/>
          </w:tcPr>
          <w:p w:rsidR="00264558" w:rsidRPr="00CF00FC" w:rsidRDefault="00264558" w:rsidP="009E614B">
            <w:pPr>
              <w:rPr>
                <w:b w:val="0"/>
              </w:rPr>
            </w:pPr>
            <w:r w:rsidRPr="00CF00FC">
              <w:rPr>
                <w:b w:val="0"/>
              </w:rPr>
              <w:t>Rollinsford</w:t>
            </w:r>
          </w:p>
        </w:tc>
        <w:tc>
          <w:tcPr>
            <w:tcW w:w="1062" w:type="dxa"/>
            <w:gridSpan w:val="2"/>
            <w:noWrap/>
            <w:hideMark/>
          </w:tcPr>
          <w:p w:rsidR="00264558" w:rsidRPr="00CF00FC"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lang w:eastAsia="zh-CN" w:bidi="hi-IN"/>
              </w:rPr>
            </w:pPr>
            <w:r w:rsidRPr="00CF00FC">
              <w:rPr>
                <w:rFonts w:eastAsiaTheme="majorEastAsia" w:cs="Lohit Hindi"/>
                <w:lang w:eastAsia="zh-CN" w:bidi="hi-IN"/>
              </w:rPr>
              <w:t>16%</w:t>
            </w:r>
          </w:p>
        </w:tc>
        <w:tc>
          <w:tcPr>
            <w:tcW w:w="1188" w:type="dxa"/>
            <w:gridSpan w:val="2"/>
            <w:noWrap/>
            <w:hideMark/>
          </w:tcPr>
          <w:p w:rsidR="00264558" w:rsidRPr="00264558"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lang w:eastAsia="zh-CN" w:bidi="hi-IN"/>
              </w:rPr>
            </w:pPr>
            <w:r w:rsidRPr="00264558">
              <w:rPr>
                <w:rFonts w:eastAsiaTheme="majorEastAsia" w:cs="Lohit Hindi"/>
                <w:lang w:eastAsia="zh-CN" w:bidi="hi-IN"/>
              </w:rPr>
              <w:t>1%</w:t>
            </w:r>
          </w:p>
        </w:tc>
        <w:tc>
          <w:tcPr>
            <w:tcW w:w="1044" w:type="dxa"/>
            <w:gridSpan w:val="2"/>
          </w:tcPr>
          <w:p w:rsidR="00264558" w:rsidRPr="00264558"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lang w:eastAsia="zh-CN" w:bidi="hi-IN"/>
              </w:rPr>
            </w:pPr>
            <w:r w:rsidRPr="00264558">
              <w:rPr>
                <w:rFonts w:eastAsiaTheme="majorEastAsia" w:cs="Lohit Hindi"/>
                <w:lang w:eastAsia="zh-CN" w:bidi="hi-IN"/>
              </w:rPr>
              <w:t>9%</w:t>
            </w:r>
          </w:p>
        </w:tc>
        <w:tc>
          <w:tcPr>
            <w:tcW w:w="1116" w:type="dxa"/>
          </w:tcPr>
          <w:p w:rsidR="00264558" w:rsidRPr="00264558" w:rsidRDefault="00264558" w:rsidP="009E614B">
            <w:pPr>
              <w:cnfStyle w:val="000000000000" w:firstRow="0" w:lastRow="0" w:firstColumn="0" w:lastColumn="0" w:oddVBand="0" w:evenVBand="0" w:oddHBand="0" w:evenHBand="0" w:firstRowFirstColumn="0" w:firstRowLastColumn="0" w:lastRowFirstColumn="0" w:lastRowLastColumn="0"/>
              <w:rPr>
                <w:rFonts w:eastAsiaTheme="majorEastAsia" w:cs="Lohit Hindi"/>
                <w:lang w:eastAsia="zh-CN" w:bidi="hi-IN"/>
              </w:rPr>
            </w:pPr>
            <w:r w:rsidRPr="00264558">
              <w:rPr>
                <w:rFonts w:eastAsiaTheme="majorEastAsia" w:cs="Lohit Hindi"/>
                <w:lang w:eastAsia="zh-CN" w:bidi="hi-IN"/>
              </w:rPr>
              <w:t>9%</w:t>
            </w:r>
          </w:p>
        </w:tc>
      </w:tr>
      <w:tr w:rsidR="00264558" w:rsidRPr="00546909" w:rsidTr="009E61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8" w:type="dxa"/>
            <w:gridSpan w:val="9"/>
            <w:noWrap/>
          </w:tcPr>
          <w:p w:rsidR="00264558" w:rsidRPr="00366FCE" w:rsidRDefault="00264558" w:rsidP="009E614B">
            <w:pPr>
              <w:jc w:val="right"/>
              <w:rPr>
                <w:rFonts w:eastAsiaTheme="majorEastAsia" w:cs="Lohit Hindi"/>
                <w:b w:val="0"/>
                <w:color w:val="00000A"/>
                <w:sz w:val="16"/>
                <w:szCs w:val="16"/>
                <w:lang w:eastAsia="zh-CN" w:bidi="hi-IN"/>
              </w:rPr>
            </w:pPr>
            <w:r w:rsidRPr="00366FCE">
              <w:rPr>
                <w:rFonts w:eastAsia="Droid Sans Fallback" w:cs="Lohit Hindi"/>
                <w:b w:val="0"/>
                <w:color w:val="000000"/>
                <w:sz w:val="16"/>
                <w:szCs w:val="16"/>
                <w:lang w:eastAsia="zh-CN" w:bidi="hi-IN"/>
              </w:rPr>
              <w:t>Source: CHAS, HUD 2006-2010</w:t>
            </w:r>
          </w:p>
        </w:tc>
      </w:tr>
    </w:tbl>
    <w:p w:rsidR="006B58B7" w:rsidRDefault="006B58B7" w:rsidP="006B58B7">
      <w:pPr>
        <w:pStyle w:val="Heading2"/>
        <w:spacing w:before="0" w:after="0"/>
      </w:pPr>
    </w:p>
    <w:p w:rsidR="00937072" w:rsidRPr="009128E4" w:rsidRDefault="00937072" w:rsidP="006B58B7">
      <w:pPr>
        <w:pStyle w:val="Heading2"/>
        <w:spacing w:before="0" w:after="0"/>
      </w:pPr>
      <w:bookmarkStart w:id="32" w:name="_Toc427316518"/>
      <w:r w:rsidRPr="009128E4">
        <w:t>Housing Cost Burden</w:t>
      </w:r>
      <w:bookmarkEnd w:id="32"/>
    </w:p>
    <w:p w:rsidR="009E47C7" w:rsidRPr="009128E4" w:rsidRDefault="00937072" w:rsidP="006B58B7">
      <w:pPr>
        <w:spacing w:after="0"/>
        <w:ind w:left="-720" w:right="4680"/>
      </w:pPr>
      <w:r w:rsidRPr="00366FCE">
        <w:t xml:space="preserve">As defined above, cost burden is the ratio of housing costs to household income </w:t>
      </w:r>
      <w:r w:rsidR="009E614B">
        <w:t xml:space="preserve">and is </w:t>
      </w:r>
      <w:r w:rsidRPr="00366FCE">
        <w:t>dependent on different factors for renting versus owning (see diagram</w:t>
      </w:r>
      <w:r w:rsidR="001433ED">
        <w:t xml:space="preserve"> above</w:t>
      </w:r>
      <w:r w:rsidRPr="00366FCE">
        <w:t xml:space="preserve">). HUD considers housing cost </w:t>
      </w:r>
      <w:r w:rsidR="00037AD8">
        <w:t xml:space="preserve">to be </w:t>
      </w:r>
      <w:r w:rsidRPr="00366FCE">
        <w:t xml:space="preserve">a ‘problem’ if housing payments are between 30% and 50% of the respective household’s income. If payments are greater than 50% of household income, the cost burden </w:t>
      </w:r>
      <w:proofErr w:type="gramStart"/>
      <w:r w:rsidRPr="00366FCE">
        <w:t>is viewed</w:t>
      </w:r>
      <w:proofErr w:type="gramEnd"/>
      <w:r w:rsidRPr="00366FCE">
        <w:t xml:space="preserve"> as a ‘severe problem’. </w:t>
      </w:r>
      <w:r w:rsidR="00FC6997">
        <w:t>Table 11</w:t>
      </w:r>
      <w:r w:rsidRPr="00366FCE">
        <w:t xml:space="preserve"> at right illustrates the percentage of households whose cost burden </w:t>
      </w:r>
      <w:proofErr w:type="gramStart"/>
      <w:r w:rsidRPr="00366FCE">
        <w:t>is considered</w:t>
      </w:r>
      <w:proofErr w:type="gramEnd"/>
      <w:r w:rsidRPr="00366FCE">
        <w:t xml:space="preserve"> a housing problem (30 to 50% cost burden) or a severe housing probl</w:t>
      </w:r>
      <w:r w:rsidR="00487792">
        <w:t>em (cost burden of 50% or more) for owner and renter occupied housing.</w:t>
      </w:r>
    </w:p>
    <w:p w:rsidR="004B7840" w:rsidRDefault="00045BB9" w:rsidP="008C5C53">
      <w:pPr>
        <w:pStyle w:val="Heading2"/>
      </w:pPr>
      <w:bookmarkStart w:id="33" w:name="_Toc427316519"/>
      <w:r>
        <w:lastRenderedPageBreak/>
        <w:t>Housing Affordability</w:t>
      </w:r>
      <w:bookmarkEnd w:id="33"/>
    </w:p>
    <w:p w:rsidR="007D3B1C" w:rsidRPr="00D378A1" w:rsidRDefault="007D3B1C" w:rsidP="001D53C3">
      <w:pPr>
        <w:ind w:left="-720" w:right="-720"/>
      </w:pPr>
      <w:r w:rsidRPr="00D378A1">
        <w:t xml:space="preserve">In </w:t>
      </w:r>
      <w:r w:rsidR="00203A92" w:rsidRPr="00D378A1">
        <w:t xml:space="preserve">an </w:t>
      </w:r>
      <w:r w:rsidRPr="00D378A1">
        <w:t>effort to address</w:t>
      </w:r>
      <w:r w:rsidR="00D378A1" w:rsidRPr="00D378A1">
        <w:t xml:space="preserve"> issues related to the provision of affordable housing for </w:t>
      </w:r>
      <w:r w:rsidR="00113FBA">
        <w:t>workers</w:t>
      </w:r>
      <w:r w:rsidR="00A30D41">
        <w:t xml:space="preserve"> in the State</w:t>
      </w:r>
      <w:r w:rsidRPr="00D378A1">
        <w:t xml:space="preserve">, the New Hampshire Legislature enacted legislation in 2008 requiring all communities to support the creation of housing through their land use regulations. New Hampshire Revised Statutes Annotated (RSA) 674:59, Workforce Housing Opportunities, states the following: </w:t>
      </w:r>
    </w:p>
    <w:p w:rsidR="00CC1D32" w:rsidRPr="005810AC" w:rsidRDefault="007D3B1C" w:rsidP="00D378A1">
      <w:pPr>
        <w:rPr>
          <w:i/>
          <w:sz w:val="18"/>
          <w:szCs w:val="18"/>
        </w:rPr>
      </w:pPr>
      <w:r w:rsidRPr="005810AC">
        <w:rPr>
          <w:i/>
          <w:sz w:val="18"/>
          <w:szCs w:val="18"/>
        </w:rPr>
        <w:t>“…ordinances an</w:t>
      </w:r>
      <w:r w:rsidR="00CB6485" w:rsidRPr="005810AC">
        <w:rPr>
          <w:i/>
          <w:sz w:val="18"/>
          <w:szCs w:val="18"/>
        </w:rPr>
        <w:t>d regulations shall provide rea</w:t>
      </w:r>
      <w:r w:rsidRPr="005810AC">
        <w:rPr>
          <w:i/>
          <w:sz w:val="18"/>
          <w:szCs w:val="18"/>
        </w:rPr>
        <w:t>sonable and realisti</w:t>
      </w:r>
      <w:r w:rsidR="00CB6485" w:rsidRPr="005810AC">
        <w:rPr>
          <w:i/>
          <w:sz w:val="18"/>
          <w:szCs w:val="18"/>
        </w:rPr>
        <w:t>c opportunities for the develop</w:t>
      </w:r>
      <w:r w:rsidRPr="005810AC">
        <w:rPr>
          <w:i/>
          <w:sz w:val="18"/>
          <w:szCs w:val="18"/>
        </w:rPr>
        <w:t xml:space="preserve">ment of workforce housing, including multifamily housing. In order to provide such opportunities, lot size and overall density requirements for workforce housing shall be reasonable. A municipality that adopts land use ordinances and regulations shall allow workforce housing to be located in a majority, but not necessarily all, of the land area that is zoned to permit </w:t>
      </w:r>
      <w:r w:rsidR="00CC1D32" w:rsidRPr="005810AC">
        <w:rPr>
          <w:i/>
          <w:sz w:val="18"/>
          <w:szCs w:val="18"/>
        </w:rPr>
        <w:t>residential uses with</w:t>
      </w:r>
      <w:r w:rsidR="00003E46">
        <w:rPr>
          <w:i/>
          <w:sz w:val="18"/>
          <w:szCs w:val="18"/>
        </w:rPr>
        <w:t>in</w:t>
      </w:r>
      <w:bookmarkStart w:id="34" w:name="_GoBack"/>
      <w:bookmarkEnd w:id="34"/>
      <w:r w:rsidR="00CC1D32" w:rsidRPr="005810AC">
        <w:rPr>
          <w:i/>
          <w:sz w:val="18"/>
          <w:szCs w:val="18"/>
        </w:rPr>
        <w:t xml:space="preserve"> the municipality.”</w:t>
      </w:r>
    </w:p>
    <w:p w:rsidR="00905203" w:rsidRPr="00D378A1" w:rsidRDefault="00CC1D32" w:rsidP="00905203">
      <w:pPr>
        <w:tabs>
          <w:tab w:val="left" w:pos="180"/>
        </w:tabs>
        <w:ind w:left="-720" w:right="-720"/>
        <w:rPr>
          <w:sz w:val="18"/>
          <w:szCs w:val="18"/>
        </w:rPr>
      </w:pPr>
      <w:r w:rsidRPr="00D378A1">
        <w:t>In New Hampshire, affordab</w:t>
      </w:r>
      <w:r w:rsidR="00722EBD">
        <w:t>le</w:t>
      </w:r>
      <w:r w:rsidRPr="00D378A1">
        <w:t xml:space="preserve"> </w:t>
      </w:r>
      <w:proofErr w:type="gramStart"/>
      <w:r w:rsidRPr="00D378A1">
        <w:t>is defined</w:t>
      </w:r>
      <w:proofErr w:type="gramEnd"/>
      <w:r w:rsidRPr="00D378A1">
        <w:t xml:space="preserve"> as </w:t>
      </w:r>
      <w:r w:rsidR="00722EBD">
        <w:t xml:space="preserve">when </w:t>
      </w:r>
      <w:r w:rsidRPr="00D378A1">
        <w:t>housing expenses</w:t>
      </w:r>
      <w:r w:rsidR="00722EBD">
        <w:t xml:space="preserve"> for a unit (</w:t>
      </w:r>
      <w:r w:rsidRPr="00D378A1">
        <w:t>utilities and rent, or mortgage payments including utilities and insurance</w:t>
      </w:r>
      <w:r w:rsidR="00722EBD">
        <w:t>)</w:t>
      </w:r>
      <w:r w:rsidRPr="00D378A1">
        <w:t xml:space="preserve"> are below 30% of the </w:t>
      </w:r>
      <w:r w:rsidR="00722EBD">
        <w:t xml:space="preserve">unit’s </w:t>
      </w:r>
      <w:r w:rsidRPr="00D378A1">
        <w:t>median ho</w:t>
      </w:r>
      <w:r w:rsidR="00B4304D">
        <w:t xml:space="preserve">usehold income. </w:t>
      </w:r>
      <w:proofErr w:type="gramStart"/>
      <w:r w:rsidR="00B4304D">
        <w:t>Further, in RSA 674:58</w:t>
      </w:r>
      <w:r w:rsidRPr="00D378A1">
        <w:t>, workforce housing is defined as housing for sale or rent, where homes for purchase are “affordable to a household with an income of no more than 100 percent of the median income for a 4-person household for the metropolitan area or county in which the housing is located” and rentals are “affordable to a household with an income of no more than 60 percent of the median income for a 3-person household for the metropolitan area or county in which the housing is located”.</w:t>
      </w:r>
      <w:proofErr w:type="gramEnd"/>
      <w:r w:rsidRPr="00D378A1">
        <w:t xml:space="preserve">  The median incomes for </w:t>
      </w:r>
      <w:proofErr w:type="gramStart"/>
      <w:r w:rsidRPr="00D378A1">
        <w:t>3</w:t>
      </w:r>
      <w:proofErr w:type="gramEnd"/>
      <w:r w:rsidRPr="00D378A1">
        <w:t xml:space="preserve"> and 4-person respectively are defined by </w:t>
      </w:r>
      <w:r w:rsidR="00F718E3" w:rsidRPr="00D378A1">
        <w:t xml:space="preserve">HUD </w:t>
      </w:r>
      <w:r w:rsidRPr="00D378A1">
        <w:t xml:space="preserve">Fair Market Rent (HFMR) areas, or metropolitan and non-metropolitan counties set by </w:t>
      </w:r>
      <w:r w:rsidR="00F718E3" w:rsidRPr="00D378A1">
        <w:t xml:space="preserve">the United States Department of </w:t>
      </w:r>
      <w:r w:rsidRPr="00D378A1">
        <w:t xml:space="preserve">Housing and Urban Development (HUD). </w:t>
      </w:r>
    </w:p>
    <w:p w:rsidR="00EE5520" w:rsidRDefault="001E25DD" w:rsidP="00EE5520">
      <w:pPr>
        <w:ind w:left="-720" w:right="-720"/>
      </w:pPr>
      <w:r w:rsidRPr="00D378A1">
        <w:t xml:space="preserve">Like in many other Seacoast communities, purchasing a home or renting an apartment in Newmarket has become </w:t>
      </w:r>
      <w:r>
        <w:t xml:space="preserve">significantly </w:t>
      </w:r>
      <w:r w:rsidRPr="00D378A1">
        <w:t xml:space="preserve">more </w:t>
      </w:r>
      <w:r>
        <w:t>difficult i</w:t>
      </w:r>
      <w:r w:rsidRPr="00D378A1">
        <w:t xml:space="preserve">n the past decade. </w:t>
      </w:r>
      <w:r>
        <w:t xml:space="preserve">However, unlike so many of those communities, Newmarket has been successful in providing </w:t>
      </w:r>
      <w:r w:rsidRPr="00D378A1">
        <w:t>a</w:t>
      </w:r>
      <w:r>
        <w:t xml:space="preserve"> large stock of affordable housing units for multiple demographic groups. Newmarket residents and elected officials understand that h</w:t>
      </w:r>
      <w:r w:rsidRPr="00D378A1">
        <w:t xml:space="preserve">ousing affordability </w:t>
      </w:r>
      <w:r>
        <w:t xml:space="preserve">is a key factor in understanding a community’s past and future </w:t>
      </w:r>
      <w:r w:rsidRPr="00D378A1">
        <w:t xml:space="preserve">social and economic </w:t>
      </w:r>
      <w:r>
        <w:t>development</w:t>
      </w:r>
      <w:r w:rsidRPr="00D378A1">
        <w:t>.</w:t>
      </w:r>
      <w:r w:rsidR="00B831ED">
        <w:t xml:space="preserve"> </w:t>
      </w:r>
      <w:r w:rsidRPr="00D378A1">
        <w:t xml:space="preserve">In </w:t>
      </w:r>
      <w:r>
        <w:t xml:space="preserve">so </w:t>
      </w:r>
      <w:r w:rsidRPr="00D378A1">
        <w:t xml:space="preserve">many overburdened households, where a large portion of their income goes directly towards housing cost, a shortage of funds can emerge for other critical needs, such as food, health care, heating, etc. In communities like Newmarket where a significant percentage of housing units are affordable, </w:t>
      </w:r>
      <w:r>
        <w:t>affordability</w:t>
      </w:r>
      <w:r w:rsidRPr="00D378A1">
        <w:t xml:space="preserve"> can</w:t>
      </w:r>
      <w:r>
        <w:t xml:space="preserve"> be</w:t>
      </w:r>
      <w:r w:rsidRPr="00D378A1">
        <w:t xml:space="preserve"> a positive</w:t>
      </w:r>
      <w:r>
        <w:t xml:space="preserve"> force for</w:t>
      </w:r>
      <w:r w:rsidRPr="00D378A1">
        <w:t xml:space="preserve"> area businesses and public agencies by increasing the </w:t>
      </w:r>
      <w:r>
        <w:t xml:space="preserve">labor force supply </w:t>
      </w:r>
      <w:r w:rsidRPr="00D378A1">
        <w:t>available to fill a variety of jobs.</w:t>
      </w:r>
      <w:r>
        <w:t xml:space="preserve"> </w:t>
      </w:r>
      <w:r w:rsidR="00CA563F">
        <w:t xml:space="preserve">Historically, the town has made significant efforts to ensure the </w:t>
      </w:r>
      <w:r w:rsidR="00125B01">
        <w:t>alignment</w:t>
      </w:r>
      <w:r w:rsidR="00CA563F">
        <w:t xml:space="preserve"> of the </w:t>
      </w:r>
      <w:r w:rsidR="00125B01">
        <w:t>t</w:t>
      </w:r>
      <w:r w:rsidR="00CA563F">
        <w:t>own’s housing stock</w:t>
      </w:r>
      <w:r w:rsidR="00125B01">
        <w:t xml:space="preserve"> shares</w:t>
      </w:r>
      <w:r w:rsidR="00CA563F">
        <w:t xml:space="preserve"> with surrounding communities while maintaining </w:t>
      </w:r>
      <w:r w:rsidR="00B4304D">
        <w:t>its</w:t>
      </w:r>
      <w:r w:rsidR="00CA563F">
        <w:t xml:space="preserve"> ‘fair share’ of affordable housing in the</w:t>
      </w:r>
      <w:r w:rsidR="00B4304D">
        <w:t xml:space="preserve"> context of the</w:t>
      </w:r>
      <w:r w:rsidR="00CA563F">
        <w:t xml:space="preserve"> </w:t>
      </w:r>
      <w:r w:rsidR="00B4304D">
        <w:t>region</w:t>
      </w:r>
      <w:r w:rsidR="00CA563F">
        <w:t>.</w:t>
      </w:r>
      <w:r w:rsidR="00CA563F" w:rsidRPr="00D378A1">
        <w:t xml:space="preserve"> </w:t>
      </w:r>
      <w:r w:rsidR="00125B01">
        <w:t>Subsequently, t</w:t>
      </w:r>
      <w:r w:rsidR="00CA563F">
        <w:t xml:space="preserve">he town and its residents have focused </w:t>
      </w:r>
      <w:r w:rsidR="00125B01">
        <w:t xml:space="preserve">in the period since the last iteration of the master plan </w:t>
      </w:r>
      <w:r w:rsidR="00CA563F">
        <w:t>on the development of single-family homes that provide increased tax base and lessen impacts to</w:t>
      </w:r>
      <w:r w:rsidR="00125B01">
        <w:t xml:space="preserve"> the</w:t>
      </w:r>
      <w:r w:rsidR="00CA563F">
        <w:t xml:space="preserve"> community’s services</w:t>
      </w:r>
      <w:r w:rsidR="00EE5520">
        <w:t>.</w:t>
      </w:r>
    </w:p>
    <w:p w:rsidR="001E25DD" w:rsidRPr="00EE5520" w:rsidRDefault="00C908A0" w:rsidP="00EE5520">
      <w:pPr>
        <w:ind w:left="-720" w:right="-720"/>
      </w:pPr>
      <w:r>
        <w:br/>
      </w:r>
    </w:p>
    <w:p w:rsidR="00CA563F" w:rsidRDefault="00CA563F">
      <w:pPr>
        <w:jc w:val="left"/>
        <w:rPr>
          <w:rFonts w:eastAsiaTheme="majorEastAsia" w:cstheme="majorBidi"/>
          <w:b/>
          <w:bCs/>
          <w:color w:val="4A442A" w:themeColor="background2" w:themeShade="40"/>
          <w:sz w:val="26"/>
          <w:szCs w:val="26"/>
        </w:rPr>
      </w:pPr>
      <w:r>
        <w:rPr>
          <w:sz w:val="26"/>
          <w:szCs w:val="26"/>
        </w:rPr>
        <w:br w:type="page"/>
      </w:r>
    </w:p>
    <w:p w:rsidR="006D6662" w:rsidRDefault="009A788D" w:rsidP="006D6662">
      <w:pPr>
        <w:pStyle w:val="Heading3"/>
        <w:ind w:left="-720" w:right="-720"/>
        <w:rPr>
          <w:sz w:val="26"/>
          <w:szCs w:val="26"/>
        </w:rPr>
      </w:pPr>
      <w:r>
        <w:rPr>
          <w:sz w:val="26"/>
          <w:szCs w:val="26"/>
        </w:rPr>
        <w:lastRenderedPageBreak/>
        <w:t>Single-Family Housing Unit</w:t>
      </w:r>
      <w:r w:rsidR="002D1F90" w:rsidRPr="00905203">
        <w:rPr>
          <w:sz w:val="26"/>
          <w:szCs w:val="26"/>
        </w:rPr>
        <w:t xml:space="preserve"> Affordability </w:t>
      </w:r>
      <w:r w:rsidR="00203A92">
        <w:rPr>
          <w:sz w:val="26"/>
          <w:szCs w:val="26"/>
        </w:rPr>
        <w:t>Analysis</w:t>
      </w:r>
    </w:p>
    <w:p w:rsidR="00BE52AA" w:rsidRPr="00321523" w:rsidRDefault="00BE52AA" w:rsidP="00321523">
      <w:pPr>
        <w:pStyle w:val="Heading3"/>
        <w:ind w:left="-720" w:right="-720"/>
        <w:rPr>
          <w:rFonts w:cs="Times New Roman"/>
          <w:b w:val="0"/>
          <w:color w:val="auto"/>
          <w:sz w:val="26"/>
          <w:szCs w:val="26"/>
        </w:rPr>
      </w:pPr>
      <w:r w:rsidRPr="006101A8">
        <w:rPr>
          <w:b w:val="0"/>
          <w:color w:val="auto"/>
        </w:rPr>
        <w:t xml:space="preserve">To </w:t>
      </w:r>
      <w:proofErr w:type="gramStart"/>
      <w:r w:rsidRPr="006101A8">
        <w:rPr>
          <w:b w:val="0"/>
          <w:color w:val="auto"/>
        </w:rPr>
        <w:t>q</w:t>
      </w:r>
      <w:r w:rsidRPr="00321523">
        <w:rPr>
          <w:b w:val="0"/>
          <w:color w:val="auto"/>
        </w:rPr>
        <w:t>ualify</w:t>
      </w:r>
      <w:proofErr w:type="gramEnd"/>
      <w:r w:rsidRPr="00321523">
        <w:rPr>
          <w:b w:val="0"/>
          <w:color w:val="auto"/>
        </w:rPr>
        <w:t xml:space="preserve"> as workforce housing, owner-occupied units must be “affordable to a household with an income of no more than one hundred (100%) percent of the median income for a four person household” (RSA 674:58.IV). Affordable is further defined as housing units that do not exceed 30</w:t>
      </w:r>
      <w:r w:rsidR="00B35129" w:rsidRPr="00321523">
        <w:rPr>
          <w:b w:val="0"/>
          <w:color w:val="auto"/>
        </w:rPr>
        <w:t>%</w:t>
      </w:r>
      <w:r w:rsidRPr="00321523">
        <w:rPr>
          <w:b w:val="0"/>
          <w:color w:val="auto"/>
        </w:rPr>
        <w:t xml:space="preserve"> of a household’s gross annual income in combined mortgage loan debt services, property taxes and required insurance (RSA 674:58.I). </w:t>
      </w:r>
    </w:p>
    <w:p w:rsidR="006D2DF1" w:rsidRPr="006C4C9C" w:rsidRDefault="00BE52AA" w:rsidP="00BE52AA">
      <w:pPr>
        <w:ind w:left="-720" w:right="-720"/>
      </w:pPr>
      <w:proofErr w:type="gramStart"/>
      <w:r w:rsidRPr="00321523">
        <w:t>The US Department of Housing and Urban Development (HUD) specifie</w:t>
      </w:r>
      <w:r w:rsidR="00B35129" w:rsidRPr="00321523">
        <w:t xml:space="preserve">s </w:t>
      </w:r>
      <w:r w:rsidRPr="00321523">
        <w:t xml:space="preserve">the income threshold for a four person household in the Portsmouth-Rochester HFMR, which includes </w:t>
      </w:r>
      <w:r w:rsidR="00391575" w:rsidRPr="00321523">
        <w:t>Newmarket</w:t>
      </w:r>
      <w:r w:rsidRPr="00321523">
        <w:t xml:space="preserve"> and the following communities: </w:t>
      </w:r>
      <w:r w:rsidRPr="006C4C9C">
        <w:t>Brentwood,</w:t>
      </w:r>
      <w:r w:rsidR="00391575" w:rsidRPr="006C4C9C">
        <w:t xml:space="preserve"> Durham,</w:t>
      </w:r>
      <w:r w:rsidRPr="006C4C9C">
        <w:t xml:space="preserve"> East Kingston, Epping, Exeter, Greenland, Hampton, Hampton Falls, Kensington, New Castle, Newfields, Newington, North Hampton, Portsmouth, Rye, Stratham, Barrington, Dover, Farmington, Lee, Madbury, Middleton, Milton, New Durham, Rochester, Rollinsford, Somersworth, and Strafford.</w:t>
      </w:r>
      <w:proofErr w:type="gramEnd"/>
    </w:p>
    <w:p w:rsidR="00BE52AA" w:rsidRPr="006C4C9C" w:rsidRDefault="00321523" w:rsidP="00BE52AA">
      <w:pPr>
        <w:ind w:left="-720" w:right="-720"/>
      </w:pPr>
      <w:r w:rsidRPr="006C4C9C">
        <w:t>In real terms,</w:t>
      </w:r>
      <w:r w:rsidR="00BE52AA" w:rsidRPr="006C4C9C">
        <w:t xml:space="preserve"> the purchase price of a house must be affordable to a household earning no more than $84,300. </w:t>
      </w:r>
      <w:proofErr w:type="gramStart"/>
      <w:r w:rsidR="00BE52AA" w:rsidRPr="006C4C9C">
        <w:t>To better understand</w:t>
      </w:r>
      <w:proofErr w:type="gramEnd"/>
      <w:r w:rsidR="00BE52AA" w:rsidRPr="006C4C9C">
        <w:t xml:space="preserve"> the cost of owner-occupied housing in </w:t>
      </w:r>
      <w:r w:rsidR="00905203" w:rsidRPr="006C4C9C">
        <w:t>Newmarket</w:t>
      </w:r>
      <w:r w:rsidR="00BE52AA" w:rsidRPr="006C4C9C">
        <w:t xml:space="preserve">, </w:t>
      </w:r>
      <w:r w:rsidR="002B5B03">
        <w:t xml:space="preserve">an analysis was done which for a 4-person household assesses units </w:t>
      </w:r>
      <w:r w:rsidR="003E7201">
        <w:t>affordable to households with incomes of</w:t>
      </w:r>
      <w:r w:rsidR="00BE52AA" w:rsidRPr="006C4C9C">
        <w:t xml:space="preserve"> 80%</w:t>
      </w:r>
      <w:r w:rsidR="00722EBD">
        <w:t xml:space="preserve"> </w:t>
      </w:r>
      <w:r w:rsidR="006C4C9C" w:rsidRPr="006C4C9C">
        <w:t>(</w:t>
      </w:r>
      <w:r w:rsidR="006C4C9C" w:rsidRPr="006C4C9C">
        <w:rPr>
          <w:rFonts w:eastAsia="Droid Sans Fallback" w:cs="Lohit Hindi"/>
          <w:lang w:eastAsia="zh-CN" w:bidi="hi-IN"/>
        </w:rPr>
        <w:t>$63,900)</w:t>
      </w:r>
      <w:r w:rsidR="00BE52AA" w:rsidRPr="006C4C9C">
        <w:t xml:space="preserve"> and 60%</w:t>
      </w:r>
      <w:r w:rsidR="00722EBD">
        <w:t xml:space="preserve"> </w:t>
      </w:r>
      <w:r w:rsidR="006C4C9C" w:rsidRPr="006C4C9C">
        <w:t>($52,860)</w:t>
      </w:r>
      <w:r w:rsidR="00BE52AA" w:rsidRPr="006C4C9C">
        <w:t xml:space="preserve"> of the above stated HUD median.</w:t>
      </w:r>
      <w:r w:rsidR="003E7201">
        <w:t xml:space="preserve"> </w:t>
      </w:r>
      <w:r w:rsidR="002B5B03">
        <w:t>Please see Table 12 below.</w:t>
      </w:r>
    </w:p>
    <w:p w:rsidR="00BE52AA" w:rsidRPr="006C4C9C" w:rsidRDefault="006C4C9C" w:rsidP="00BE52AA">
      <w:pPr>
        <w:ind w:left="-720" w:right="-720"/>
      </w:pPr>
      <w:r w:rsidRPr="006C4C9C">
        <w:t>In order to</w:t>
      </w:r>
      <w:r w:rsidR="00BE52AA" w:rsidRPr="006C4C9C">
        <w:t xml:space="preserve"> determine what </w:t>
      </w:r>
      <w:r w:rsidRPr="006C4C9C">
        <w:t xml:space="preserve">homes </w:t>
      </w:r>
      <w:r w:rsidR="00BE52AA" w:rsidRPr="006C4C9C">
        <w:t>value</w:t>
      </w:r>
      <w:r w:rsidRPr="006C4C9C">
        <w:t>s</w:t>
      </w:r>
      <w:r w:rsidR="00BE52AA" w:rsidRPr="006C4C9C">
        <w:t xml:space="preserve"> would be affordable for households making between $52,860 and $84,300 the NHHFA’s Affordability Calculator </w:t>
      </w:r>
      <w:proofErr w:type="gramStart"/>
      <w:r w:rsidR="00BE52AA" w:rsidRPr="006C4C9C">
        <w:t>was used</w:t>
      </w:r>
      <w:proofErr w:type="gramEnd"/>
      <w:r w:rsidR="00BE52AA" w:rsidRPr="006C4C9C">
        <w:t xml:space="preserve">. The calculator for a home purchase was set to </w:t>
      </w:r>
      <w:proofErr w:type="gramStart"/>
      <w:r w:rsidR="00BE52AA" w:rsidRPr="006C4C9C">
        <w:t>include:</w:t>
      </w:r>
      <w:proofErr w:type="gramEnd"/>
      <w:r w:rsidR="00BE52AA" w:rsidRPr="006C4C9C">
        <w:t xml:space="preserve"> a </w:t>
      </w:r>
      <w:r w:rsidR="006D6662" w:rsidRPr="006C4C9C">
        <w:t>2.575</w:t>
      </w:r>
      <w:r w:rsidR="00BE52AA" w:rsidRPr="006C4C9C">
        <w:t>% tax rate (</w:t>
      </w:r>
      <w:r w:rsidR="006D6662" w:rsidRPr="006C4C9C">
        <w:t>Newmarket</w:t>
      </w:r>
      <w:r w:rsidR="00BE52AA" w:rsidRPr="006C4C9C">
        <w:t>’s 201</w:t>
      </w:r>
      <w:r w:rsidR="006D6662" w:rsidRPr="006C4C9C">
        <w:t>4</w:t>
      </w:r>
      <w:r w:rsidR="00BE52AA" w:rsidRPr="006C4C9C">
        <w:t xml:space="preserve"> rate), $10,000 cash on hand, a 5% interest rate on a 30 year loan, and; a 0.5% home insurance rate</w:t>
      </w:r>
      <w:r w:rsidRPr="006C4C9C">
        <w:t>.</w:t>
      </w:r>
      <w:r w:rsidR="001A748C">
        <w:t xml:space="preserve"> The Calculator produced a home value of $240,865 for Newmarket.</w:t>
      </w:r>
    </w:p>
    <w:tbl>
      <w:tblPr>
        <w:tblStyle w:val="ColorfulList"/>
        <w:tblpPr w:leftFromText="180" w:rightFromText="180" w:vertAnchor="text" w:horzAnchor="page" w:tblpX="4939" w:tblpY="2087"/>
        <w:tblW w:w="0" w:type="auto"/>
        <w:tblLook w:val="04A0" w:firstRow="1" w:lastRow="0" w:firstColumn="1" w:lastColumn="0" w:noHBand="0" w:noVBand="1"/>
      </w:tblPr>
      <w:tblGrid>
        <w:gridCol w:w="4068"/>
        <w:gridCol w:w="2700"/>
      </w:tblGrid>
      <w:tr w:rsidR="002D1996" w:rsidRPr="006D6662" w:rsidTr="006C4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2"/>
          </w:tcPr>
          <w:p w:rsidR="002D1996" w:rsidRPr="002D1996" w:rsidRDefault="002D1996" w:rsidP="001B6562">
            <w:pPr>
              <w:rPr>
                <w:b w:val="0"/>
                <w:color w:val="auto"/>
              </w:rPr>
            </w:pPr>
            <w:r w:rsidRPr="002D1996">
              <w:rPr>
                <w:b w:val="0"/>
              </w:rPr>
              <w:t xml:space="preserve">Table </w:t>
            </w:r>
            <w:r w:rsidR="001B6562">
              <w:rPr>
                <w:b w:val="0"/>
              </w:rPr>
              <w:t>13</w:t>
            </w:r>
            <w:r w:rsidRPr="002D1996">
              <w:rPr>
                <w:b w:val="0"/>
              </w:rPr>
              <w:t>: Newmarket Affordable Purchase Price</w:t>
            </w:r>
            <w:r w:rsidR="007F14DD">
              <w:rPr>
                <w:b w:val="0"/>
              </w:rPr>
              <w:t xml:space="preserve"> for Single Family</w:t>
            </w:r>
            <w:r w:rsidR="001A748C">
              <w:rPr>
                <w:b w:val="0"/>
              </w:rPr>
              <w:t xml:space="preserve"> Housing </w:t>
            </w:r>
            <w:r w:rsidR="007F14DD">
              <w:rPr>
                <w:b w:val="0"/>
              </w:rPr>
              <w:t xml:space="preserve"> Units</w:t>
            </w:r>
          </w:p>
        </w:tc>
      </w:tr>
      <w:tr w:rsidR="002D1996" w:rsidRPr="006D6662" w:rsidTr="007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7F14DD" w:rsidP="007F14DD">
            <w:pPr>
              <w:jc w:val="left"/>
              <w:rPr>
                <w:b w:val="0"/>
                <w:color w:val="auto"/>
              </w:rPr>
            </w:pPr>
            <w:r w:rsidRPr="002D1996">
              <w:rPr>
                <w:b w:val="0"/>
                <w:color w:val="auto"/>
              </w:rPr>
              <w:t>Percent of Median Household Income</w:t>
            </w:r>
            <w:r>
              <w:rPr>
                <w:b w:val="0"/>
                <w:color w:val="auto"/>
              </w:rPr>
              <w:t xml:space="preserve"> </w:t>
            </w:r>
            <w:r w:rsidRPr="007F14DD">
              <w:rPr>
                <w:b w:val="0"/>
                <w:color w:val="auto"/>
                <w:sz w:val="16"/>
                <w:szCs w:val="16"/>
              </w:rPr>
              <w:t>(4-Person Owner Occupied)</w:t>
            </w:r>
          </w:p>
        </w:tc>
        <w:tc>
          <w:tcPr>
            <w:tcW w:w="2700" w:type="dxa"/>
          </w:tcPr>
          <w:p w:rsidR="002D1996" w:rsidRPr="002D1996" w:rsidRDefault="002D1996" w:rsidP="002D1996">
            <w:pPr>
              <w:cnfStyle w:val="000000100000" w:firstRow="0" w:lastRow="0" w:firstColumn="0" w:lastColumn="0" w:oddVBand="0" w:evenVBand="0" w:oddHBand="1" w:evenHBand="0" w:firstRowFirstColumn="0" w:firstRowLastColumn="0" w:lastRowFirstColumn="0" w:lastRowLastColumn="0"/>
              <w:rPr>
                <w:color w:val="auto"/>
              </w:rPr>
            </w:pPr>
            <w:r w:rsidRPr="002D1996">
              <w:rPr>
                <w:color w:val="auto"/>
              </w:rPr>
              <w:t>Affordable Purchase Price</w:t>
            </w:r>
          </w:p>
        </w:tc>
      </w:tr>
      <w:tr w:rsidR="002D1996" w:rsidRPr="006D6662" w:rsidTr="007F14DD">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2D1996" w:rsidP="002D1996">
            <w:pPr>
              <w:rPr>
                <w:rFonts w:eastAsia="Droid Sans Fallback" w:cs="Lohit Hindi"/>
                <w:b w:val="0"/>
                <w:color w:val="auto"/>
                <w:lang w:eastAsia="zh-CN" w:bidi="hi-IN"/>
              </w:rPr>
            </w:pPr>
            <w:r w:rsidRPr="002D1996">
              <w:rPr>
                <w:rFonts w:eastAsia="Droid Sans Fallback" w:cs="Lohit Hindi"/>
                <w:b w:val="0"/>
                <w:color w:val="auto"/>
                <w:lang w:eastAsia="zh-CN" w:bidi="hi-IN"/>
              </w:rPr>
              <w:t>100%</w:t>
            </w:r>
          </w:p>
        </w:tc>
        <w:tc>
          <w:tcPr>
            <w:tcW w:w="2700" w:type="dxa"/>
          </w:tcPr>
          <w:p w:rsidR="002D1996" w:rsidRPr="002D1996" w:rsidRDefault="002D1996" w:rsidP="002D1996">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2D1996">
              <w:rPr>
                <w:rFonts w:eastAsia="Droid Sans Fallback" w:cs="Lohit Hindi"/>
                <w:color w:val="auto"/>
                <w:lang w:eastAsia="zh-CN" w:bidi="hi-IN"/>
              </w:rPr>
              <w:t>$240,865</w:t>
            </w:r>
          </w:p>
        </w:tc>
      </w:tr>
      <w:tr w:rsidR="002D1996" w:rsidRPr="006D6662" w:rsidTr="007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2D1996" w:rsidP="002D1996">
            <w:pPr>
              <w:rPr>
                <w:rFonts w:eastAsia="Droid Sans Fallback" w:cs="Lohit Hindi"/>
                <w:b w:val="0"/>
                <w:color w:val="auto"/>
                <w:lang w:eastAsia="zh-CN" w:bidi="hi-IN"/>
              </w:rPr>
            </w:pPr>
            <w:r w:rsidRPr="002D1996">
              <w:rPr>
                <w:rFonts w:eastAsia="Droid Sans Fallback" w:cs="Lohit Hindi"/>
                <w:b w:val="0"/>
                <w:color w:val="auto"/>
                <w:lang w:eastAsia="zh-CN" w:bidi="hi-IN"/>
              </w:rPr>
              <w:t>80%</w:t>
            </w:r>
          </w:p>
        </w:tc>
        <w:tc>
          <w:tcPr>
            <w:tcW w:w="2700" w:type="dxa"/>
          </w:tcPr>
          <w:p w:rsidR="002D1996" w:rsidRPr="002D1996" w:rsidRDefault="002D1996" w:rsidP="002D1996">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2D1996">
              <w:rPr>
                <w:rFonts w:eastAsia="Droid Sans Fallback" w:cs="Lohit Hindi"/>
                <w:color w:val="auto"/>
                <w:lang w:eastAsia="zh-CN" w:bidi="hi-IN"/>
              </w:rPr>
              <w:t>$184,277</w:t>
            </w:r>
          </w:p>
        </w:tc>
      </w:tr>
      <w:tr w:rsidR="002D1996" w:rsidRPr="006D6662" w:rsidTr="007F14DD">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2D1996" w:rsidP="002D1996">
            <w:pPr>
              <w:rPr>
                <w:rFonts w:eastAsia="Droid Sans Fallback" w:cs="Lohit Hindi"/>
                <w:b w:val="0"/>
                <w:color w:val="auto"/>
                <w:lang w:eastAsia="zh-CN" w:bidi="hi-IN"/>
              </w:rPr>
            </w:pPr>
            <w:r w:rsidRPr="002D1996">
              <w:rPr>
                <w:rFonts w:eastAsia="Droid Sans Fallback" w:cs="Lohit Hindi"/>
                <w:b w:val="0"/>
                <w:color w:val="auto"/>
                <w:lang w:eastAsia="zh-CN" w:bidi="hi-IN"/>
              </w:rPr>
              <w:t>60%</w:t>
            </w:r>
          </w:p>
        </w:tc>
        <w:tc>
          <w:tcPr>
            <w:tcW w:w="2700" w:type="dxa"/>
          </w:tcPr>
          <w:p w:rsidR="002D1996" w:rsidRPr="002D1996" w:rsidRDefault="002D1996" w:rsidP="002D1996">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2D1996">
              <w:rPr>
                <w:rFonts w:eastAsia="Droid Sans Fallback" w:cs="Lohit Hindi"/>
                <w:color w:val="auto"/>
                <w:lang w:eastAsia="zh-CN" w:bidi="hi-IN"/>
              </w:rPr>
              <w:t>$153,571</w:t>
            </w:r>
          </w:p>
        </w:tc>
      </w:tr>
      <w:tr w:rsidR="002D1996" w:rsidRPr="006D6662" w:rsidTr="006C4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2"/>
          </w:tcPr>
          <w:p w:rsidR="002D1996" w:rsidRPr="006D6662" w:rsidRDefault="002D1996" w:rsidP="002D1996">
            <w:pPr>
              <w:jc w:val="right"/>
              <w:rPr>
                <w:rFonts w:eastAsia="Droid Sans Fallback" w:cs="Lohit Hindi"/>
                <w:b w:val="0"/>
                <w:color w:val="auto"/>
                <w:sz w:val="16"/>
                <w:szCs w:val="16"/>
                <w:lang w:eastAsia="zh-CN" w:bidi="hi-IN"/>
              </w:rPr>
            </w:pPr>
            <w:r w:rsidRPr="006D6662">
              <w:rPr>
                <w:rFonts w:eastAsia="Droid Sans Fallback" w:cs="Lohit Hindi"/>
                <w:b w:val="0"/>
                <w:color w:val="auto"/>
                <w:sz w:val="16"/>
                <w:szCs w:val="16"/>
                <w:lang w:eastAsia="zh-CN" w:bidi="hi-IN"/>
              </w:rPr>
              <w:t>Source: NHHFA Affordability Calculator</w:t>
            </w:r>
          </w:p>
        </w:tc>
      </w:tr>
    </w:tbl>
    <w:tbl>
      <w:tblPr>
        <w:tblStyle w:val="ColorfulList"/>
        <w:tblpPr w:leftFromText="180" w:rightFromText="180" w:vertAnchor="text" w:horzAnchor="page" w:tblpX="4950" w:tblpY="95"/>
        <w:tblW w:w="0" w:type="auto"/>
        <w:tblLook w:val="04A0" w:firstRow="1" w:lastRow="0" w:firstColumn="1" w:lastColumn="0" w:noHBand="0" w:noVBand="1"/>
      </w:tblPr>
      <w:tblGrid>
        <w:gridCol w:w="4068"/>
        <w:gridCol w:w="2700"/>
      </w:tblGrid>
      <w:tr w:rsidR="002D1996" w:rsidRPr="00AB55CD" w:rsidTr="002D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2"/>
          </w:tcPr>
          <w:p w:rsidR="002D1996" w:rsidRPr="002D1996" w:rsidRDefault="002D1996" w:rsidP="001B6562">
            <w:pPr>
              <w:rPr>
                <w:b w:val="0"/>
                <w:color w:val="auto"/>
              </w:rPr>
            </w:pPr>
            <w:r w:rsidRPr="002D1996">
              <w:rPr>
                <w:b w:val="0"/>
              </w:rPr>
              <w:t xml:space="preserve">Table </w:t>
            </w:r>
            <w:r w:rsidR="001B6562">
              <w:rPr>
                <w:b w:val="0"/>
              </w:rPr>
              <w:t>12</w:t>
            </w:r>
            <w:r w:rsidRPr="002D1996">
              <w:rPr>
                <w:b w:val="0"/>
              </w:rPr>
              <w:t>: Portsmouth-Rochester HFMR Median Income Values</w:t>
            </w:r>
          </w:p>
        </w:tc>
      </w:tr>
      <w:tr w:rsidR="002D1996" w:rsidRPr="00AB55CD" w:rsidTr="002D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2D1996" w:rsidP="007F14DD">
            <w:pPr>
              <w:jc w:val="left"/>
              <w:rPr>
                <w:b w:val="0"/>
                <w:color w:val="auto"/>
              </w:rPr>
            </w:pPr>
            <w:r w:rsidRPr="002D1996">
              <w:rPr>
                <w:b w:val="0"/>
                <w:color w:val="auto"/>
              </w:rPr>
              <w:t>Percent of Median Household Income</w:t>
            </w:r>
            <w:r w:rsidR="007F14DD">
              <w:rPr>
                <w:b w:val="0"/>
                <w:color w:val="auto"/>
              </w:rPr>
              <w:t xml:space="preserve"> </w:t>
            </w:r>
            <w:r w:rsidR="007F14DD" w:rsidRPr="007F14DD">
              <w:rPr>
                <w:b w:val="0"/>
                <w:color w:val="auto"/>
                <w:sz w:val="16"/>
                <w:szCs w:val="16"/>
              </w:rPr>
              <w:t>(4-Person Owner Occupied)</w:t>
            </w:r>
          </w:p>
        </w:tc>
        <w:tc>
          <w:tcPr>
            <w:tcW w:w="2700" w:type="dxa"/>
          </w:tcPr>
          <w:p w:rsidR="002D1996" w:rsidRPr="002D1996" w:rsidRDefault="002D1996" w:rsidP="002D1996">
            <w:pPr>
              <w:cnfStyle w:val="000000100000" w:firstRow="0" w:lastRow="0" w:firstColumn="0" w:lastColumn="0" w:oddVBand="0" w:evenVBand="0" w:oddHBand="1" w:evenHBand="0" w:firstRowFirstColumn="0" w:firstRowLastColumn="0" w:lastRowFirstColumn="0" w:lastRowLastColumn="0"/>
              <w:rPr>
                <w:color w:val="auto"/>
              </w:rPr>
            </w:pPr>
            <w:r w:rsidRPr="002D1996">
              <w:rPr>
                <w:color w:val="auto"/>
              </w:rPr>
              <w:t>Income Value</w:t>
            </w:r>
          </w:p>
        </w:tc>
      </w:tr>
      <w:tr w:rsidR="002D1996" w:rsidRPr="00AB55CD" w:rsidTr="002D1996">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2D1996" w:rsidP="002D1996">
            <w:pPr>
              <w:rPr>
                <w:b w:val="0"/>
                <w:color w:val="auto"/>
              </w:rPr>
            </w:pPr>
            <w:r w:rsidRPr="002D1996">
              <w:rPr>
                <w:b w:val="0"/>
                <w:color w:val="auto"/>
              </w:rPr>
              <w:t>100%</w:t>
            </w:r>
          </w:p>
        </w:tc>
        <w:tc>
          <w:tcPr>
            <w:tcW w:w="2700" w:type="dxa"/>
          </w:tcPr>
          <w:p w:rsidR="002D1996" w:rsidRPr="002D1996" w:rsidRDefault="002D1996" w:rsidP="002D1996">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2D1996">
              <w:rPr>
                <w:rFonts w:eastAsia="Droid Sans Fallback" w:cs="Lohit Hindi"/>
                <w:color w:val="auto"/>
                <w:lang w:eastAsia="zh-CN" w:bidi="hi-IN"/>
              </w:rPr>
              <w:t>$84,300</w:t>
            </w:r>
          </w:p>
        </w:tc>
      </w:tr>
      <w:tr w:rsidR="002D1996" w:rsidRPr="00AB55CD" w:rsidTr="002D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2D1996" w:rsidP="002D1996">
            <w:pPr>
              <w:rPr>
                <w:b w:val="0"/>
                <w:color w:val="auto"/>
              </w:rPr>
            </w:pPr>
            <w:r w:rsidRPr="002D1996">
              <w:rPr>
                <w:b w:val="0"/>
                <w:color w:val="auto"/>
              </w:rPr>
              <w:t>80%</w:t>
            </w:r>
          </w:p>
        </w:tc>
        <w:tc>
          <w:tcPr>
            <w:tcW w:w="2700" w:type="dxa"/>
          </w:tcPr>
          <w:p w:rsidR="002D1996" w:rsidRPr="002D1996" w:rsidRDefault="002D1996" w:rsidP="002D1996">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lang w:eastAsia="zh-CN" w:bidi="hi-IN"/>
              </w:rPr>
            </w:pPr>
            <w:r w:rsidRPr="002D1996">
              <w:rPr>
                <w:rFonts w:eastAsia="Droid Sans Fallback" w:cs="Lohit Hindi"/>
                <w:color w:val="auto"/>
                <w:lang w:eastAsia="zh-CN" w:bidi="hi-IN"/>
              </w:rPr>
              <w:t>$63,900</w:t>
            </w:r>
          </w:p>
        </w:tc>
      </w:tr>
      <w:tr w:rsidR="002D1996" w:rsidRPr="00AB55CD" w:rsidTr="002D1996">
        <w:tc>
          <w:tcPr>
            <w:cnfStyle w:val="001000000000" w:firstRow="0" w:lastRow="0" w:firstColumn="1" w:lastColumn="0" w:oddVBand="0" w:evenVBand="0" w:oddHBand="0" w:evenHBand="0" w:firstRowFirstColumn="0" w:firstRowLastColumn="0" w:lastRowFirstColumn="0" w:lastRowLastColumn="0"/>
            <w:tcW w:w="4068" w:type="dxa"/>
          </w:tcPr>
          <w:p w:rsidR="002D1996" w:rsidRPr="002D1996" w:rsidRDefault="002D1996" w:rsidP="002D1996">
            <w:pPr>
              <w:rPr>
                <w:b w:val="0"/>
                <w:color w:val="auto"/>
              </w:rPr>
            </w:pPr>
            <w:r w:rsidRPr="002D1996">
              <w:rPr>
                <w:b w:val="0"/>
                <w:color w:val="auto"/>
              </w:rPr>
              <w:t>60%</w:t>
            </w:r>
          </w:p>
        </w:tc>
        <w:tc>
          <w:tcPr>
            <w:tcW w:w="2700" w:type="dxa"/>
          </w:tcPr>
          <w:p w:rsidR="002D1996" w:rsidRPr="002D1996" w:rsidRDefault="002D1996" w:rsidP="002D1996">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lang w:eastAsia="zh-CN" w:bidi="hi-IN"/>
              </w:rPr>
            </w:pPr>
            <w:r w:rsidRPr="002D1996">
              <w:rPr>
                <w:rFonts w:eastAsia="Droid Sans Fallback" w:cs="Lohit Hindi"/>
                <w:color w:val="auto"/>
                <w:lang w:eastAsia="zh-CN" w:bidi="hi-IN"/>
              </w:rPr>
              <w:t>$52,860</w:t>
            </w:r>
          </w:p>
        </w:tc>
      </w:tr>
      <w:tr w:rsidR="002D1996" w:rsidRPr="00321523" w:rsidTr="002D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gridSpan w:val="2"/>
          </w:tcPr>
          <w:p w:rsidR="002D1996" w:rsidRPr="00321523" w:rsidRDefault="002D1996" w:rsidP="002D1996">
            <w:pPr>
              <w:jc w:val="right"/>
              <w:rPr>
                <w:rFonts w:eastAsia="Droid Sans Fallback" w:cs="Lohit Hindi"/>
                <w:b w:val="0"/>
                <w:color w:val="auto"/>
                <w:sz w:val="16"/>
                <w:szCs w:val="16"/>
                <w:lang w:eastAsia="zh-CN" w:bidi="hi-IN"/>
              </w:rPr>
            </w:pPr>
            <w:r w:rsidRPr="00321523">
              <w:rPr>
                <w:rFonts w:eastAsia="Droid Sans Fallback" w:cs="Lohit Hindi"/>
                <w:b w:val="0"/>
                <w:color w:val="auto"/>
                <w:sz w:val="16"/>
                <w:szCs w:val="16"/>
                <w:lang w:eastAsia="zh-CN" w:bidi="hi-IN"/>
              </w:rPr>
              <w:t>Source: New Hampshire Housing Finance Authority</w:t>
            </w:r>
          </w:p>
        </w:tc>
      </w:tr>
    </w:tbl>
    <w:p w:rsidR="006D6662" w:rsidRPr="007442FE" w:rsidRDefault="003E7201" w:rsidP="006D2DF1">
      <w:pPr>
        <w:ind w:left="-720" w:right="-720"/>
      </w:pPr>
      <w:r>
        <w:t xml:space="preserve">Next, the </w:t>
      </w:r>
      <w:r w:rsidR="00BE52AA" w:rsidRPr="007442FE">
        <w:t>NHHFA Affordability Calculator’s purchase price of $2</w:t>
      </w:r>
      <w:r w:rsidR="006D6662" w:rsidRPr="007442FE">
        <w:t>40,865</w:t>
      </w:r>
      <w:r w:rsidR="00BE52AA" w:rsidRPr="007442FE">
        <w:t xml:space="preserve"> or less </w:t>
      </w:r>
      <w:proofErr w:type="gramStart"/>
      <w:r w:rsidR="00BE52AA" w:rsidRPr="007442FE">
        <w:t>was compared</w:t>
      </w:r>
      <w:proofErr w:type="gramEnd"/>
      <w:r w:rsidR="00BE52AA" w:rsidRPr="007442FE">
        <w:t xml:space="preserve"> with the Total Value of each owner-occupied unit in the </w:t>
      </w:r>
      <w:r w:rsidR="006C4C9C" w:rsidRPr="007442FE">
        <w:t xml:space="preserve">Newmarket </w:t>
      </w:r>
      <w:r w:rsidR="00726860">
        <w:t>Assessor’s database. Table</w:t>
      </w:r>
      <w:r w:rsidR="00BE52AA" w:rsidRPr="007442FE">
        <w:t xml:space="preserve"> </w:t>
      </w:r>
      <w:r w:rsidR="00726860">
        <w:t>14</w:t>
      </w:r>
      <w:r w:rsidR="00BE52AA" w:rsidRPr="007442FE">
        <w:t xml:space="preserve"> detail</w:t>
      </w:r>
      <w:r w:rsidR="006C4C9C" w:rsidRPr="007442FE">
        <w:t>s</w:t>
      </w:r>
      <w:r w:rsidR="00BE52AA" w:rsidRPr="007442FE">
        <w:t xml:space="preserve"> the number and percentage of affordable</w:t>
      </w:r>
      <w:r w:rsidR="006D6662" w:rsidRPr="007442FE">
        <w:t xml:space="preserve"> single-family housing </w:t>
      </w:r>
      <w:r w:rsidR="006C4C9C" w:rsidRPr="007442FE">
        <w:t xml:space="preserve">units </w:t>
      </w:r>
      <w:r w:rsidR="006D6662" w:rsidRPr="007442FE">
        <w:t>within the Town of Newmarket.</w:t>
      </w:r>
    </w:p>
    <w:tbl>
      <w:tblPr>
        <w:tblStyle w:val="ColorfulList"/>
        <w:tblpPr w:leftFromText="180" w:rightFromText="180" w:vertAnchor="page" w:horzAnchor="margin" w:tblpXSpec="center" w:tblpY="12073"/>
        <w:tblW w:w="10908" w:type="dxa"/>
        <w:tblLook w:val="04A0" w:firstRow="1" w:lastRow="0" w:firstColumn="1" w:lastColumn="0" w:noHBand="0" w:noVBand="1"/>
      </w:tblPr>
      <w:tblGrid>
        <w:gridCol w:w="3888"/>
        <w:gridCol w:w="2070"/>
        <w:gridCol w:w="1710"/>
        <w:gridCol w:w="3240"/>
      </w:tblGrid>
      <w:tr w:rsidR="006C4C9C" w:rsidRPr="009C32E8" w:rsidTr="007F1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8" w:type="dxa"/>
            <w:gridSpan w:val="4"/>
          </w:tcPr>
          <w:p w:rsidR="006C4C9C" w:rsidRPr="002D1996" w:rsidRDefault="006C4C9C" w:rsidP="001B6562">
            <w:pPr>
              <w:rPr>
                <w:b w:val="0"/>
              </w:rPr>
            </w:pPr>
            <w:r w:rsidRPr="002D1996">
              <w:rPr>
                <w:b w:val="0"/>
              </w:rPr>
              <w:t xml:space="preserve">Table </w:t>
            </w:r>
            <w:r w:rsidR="001B6562">
              <w:rPr>
                <w:b w:val="0"/>
              </w:rPr>
              <w:t>14</w:t>
            </w:r>
            <w:r w:rsidRPr="002D1996">
              <w:rPr>
                <w:b w:val="0"/>
              </w:rPr>
              <w:t>: Newmarket Affordable Housing Units</w:t>
            </w:r>
          </w:p>
        </w:tc>
      </w:tr>
      <w:tr w:rsidR="006C4C9C" w:rsidRPr="009C32E8" w:rsidTr="007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C4C9C" w:rsidRPr="00DB4A62" w:rsidRDefault="007F14DD" w:rsidP="007F14DD">
            <w:pPr>
              <w:jc w:val="left"/>
              <w:rPr>
                <w:b w:val="0"/>
              </w:rPr>
            </w:pPr>
            <w:r w:rsidRPr="002D1996">
              <w:rPr>
                <w:b w:val="0"/>
                <w:color w:val="auto"/>
              </w:rPr>
              <w:t>Percent of Median Household Income</w:t>
            </w:r>
            <w:r>
              <w:rPr>
                <w:b w:val="0"/>
                <w:color w:val="auto"/>
              </w:rPr>
              <w:t xml:space="preserve"> </w:t>
            </w:r>
            <w:r w:rsidRPr="007F14DD">
              <w:rPr>
                <w:b w:val="0"/>
                <w:color w:val="auto"/>
                <w:sz w:val="16"/>
                <w:szCs w:val="16"/>
              </w:rPr>
              <w:t>(4-Person Owner Occupied)</w:t>
            </w:r>
          </w:p>
        </w:tc>
        <w:tc>
          <w:tcPr>
            <w:tcW w:w="2070" w:type="dxa"/>
          </w:tcPr>
          <w:p w:rsidR="006C4C9C" w:rsidRPr="00DB4A62" w:rsidRDefault="006C4C9C" w:rsidP="007F14DD">
            <w:pPr>
              <w:jc w:val="left"/>
              <w:cnfStyle w:val="000000100000" w:firstRow="0" w:lastRow="0" w:firstColumn="0" w:lastColumn="0" w:oddVBand="0" w:evenVBand="0" w:oddHBand="1" w:evenHBand="0" w:firstRowFirstColumn="0" w:firstRowLastColumn="0" w:lastRowFirstColumn="0" w:lastRowLastColumn="0"/>
            </w:pPr>
            <w:r w:rsidRPr="00DB4A62">
              <w:t>Affordable Purchase Price Range</w:t>
            </w:r>
          </w:p>
        </w:tc>
        <w:tc>
          <w:tcPr>
            <w:tcW w:w="1710" w:type="dxa"/>
          </w:tcPr>
          <w:p w:rsidR="006C4C9C" w:rsidRPr="00DB4A62" w:rsidRDefault="006C4C9C" w:rsidP="007F14DD">
            <w:pPr>
              <w:jc w:val="left"/>
              <w:cnfStyle w:val="000000100000" w:firstRow="0" w:lastRow="0" w:firstColumn="0" w:lastColumn="0" w:oddVBand="0" w:evenVBand="0" w:oddHBand="1" w:evenHBand="0" w:firstRowFirstColumn="0" w:firstRowLastColumn="0" w:lastRowFirstColumn="0" w:lastRowLastColumn="0"/>
            </w:pPr>
            <w:r w:rsidRPr="00DB4A62">
              <w:t>Number of Affordable Housing Units</w:t>
            </w:r>
          </w:p>
        </w:tc>
        <w:tc>
          <w:tcPr>
            <w:tcW w:w="3240" w:type="dxa"/>
          </w:tcPr>
          <w:p w:rsidR="006C4C9C" w:rsidRDefault="006C4C9C" w:rsidP="007F14DD">
            <w:pPr>
              <w:jc w:val="left"/>
              <w:cnfStyle w:val="000000100000" w:firstRow="0" w:lastRow="0" w:firstColumn="0" w:lastColumn="0" w:oddVBand="0" w:evenVBand="0" w:oddHBand="1" w:evenHBand="0" w:firstRowFirstColumn="0" w:firstRowLastColumn="0" w:lastRowFirstColumn="0" w:lastRowLastColumn="0"/>
            </w:pPr>
            <w:r w:rsidRPr="00DB4A62">
              <w:t xml:space="preserve">Percentage Affordable Housing Units </w:t>
            </w:r>
          </w:p>
          <w:p w:rsidR="006C4C9C" w:rsidRDefault="006C4C9C" w:rsidP="007F14DD">
            <w:pPr>
              <w:jc w:val="left"/>
              <w:cnfStyle w:val="000000100000" w:firstRow="0" w:lastRow="0" w:firstColumn="0" w:lastColumn="0" w:oddVBand="0" w:evenVBand="0" w:oddHBand="1" w:evenHBand="0" w:firstRowFirstColumn="0" w:firstRowLastColumn="0" w:lastRowFirstColumn="0" w:lastRowLastColumn="0"/>
            </w:pPr>
          </w:p>
          <w:p w:rsidR="006C4C9C" w:rsidRPr="00DB4A62" w:rsidRDefault="006C4C9C" w:rsidP="007F14DD">
            <w:pPr>
              <w:jc w:val="left"/>
              <w:cnfStyle w:val="000000100000" w:firstRow="0" w:lastRow="0" w:firstColumn="0" w:lastColumn="0" w:oddVBand="0" w:evenVBand="0" w:oddHBand="1" w:evenHBand="0" w:firstRowFirstColumn="0" w:firstRowLastColumn="0" w:lastRowFirstColumn="0" w:lastRowLastColumn="0"/>
            </w:pPr>
            <w:r w:rsidRPr="00DB4A62">
              <w:rPr>
                <w:sz w:val="16"/>
                <w:szCs w:val="16"/>
              </w:rPr>
              <w:t xml:space="preserve">(Units in affordable purchase price range/total </w:t>
            </w:r>
            <w:r>
              <w:rPr>
                <w:sz w:val="16"/>
                <w:szCs w:val="16"/>
              </w:rPr>
              <w:t xml:space="preserve">Newmarket </w:t>
            </w:r>
            <w:r w:rsidRPr="00DB4A62">
              <w:rPr>
                <w:sz w:val="16"/>
                <w:szCs w:val="16"/>
              </w:rPr>
              <w:t xml:space="preserve"> housing units)</w:t>
            </w:r>
          </w:p>
        </w:tc>
      </w:tr>
      <w:tr w:rsidR="006C4C9C" w:rsidRPr="009C32E8" w:rsidTr="007F14DD">
        <w:tc>
          <w:tcPr>
            <w:cnfStyle w:val="001000000000" w:firstRow="0" w:lastRow="0" w:firstColumn="1" w:lastColumn="0" w:oddVBand="0" w:evenVBand="0" w:oddHBand="0" w:evenHBand="0" w:firstRowFirstColumn="0" w:firstRowLastColumn="0" w:lastRowFirstColumn="0" w:lastRowLastColumn="0"/>
            <w:tcW w:w="3888" w:type="dxa"/>
          </w:tcPr>
          <w:p w:rsidR="006C4C9C" w:rsidRPr="007F14DD" w:rsidRDefault="006C4C9C" w:rsidP="007F14DD">
            <w:r w:rsidRPr="007F14DD">
              <w:t>100% ($84,300)</w:t>
            </w:r>
          </w:p>
        </w:tc>
        <w:tc>
          <w:tcPr>
            <w:tcW w:w="2070" w:type="dxa"/>
          </w:tcPr>
          <w:p w:rsidR="006C4C9C" w:rsidRPr="007F14DD" w:rsidRDefault="006C4C9C" w:rsidP="007F14DD">
            <w:pPr>
              <w:cnfStyle w:val="000000000000" w:firstRow="0" w:lastRow="0" w:firstColumn="0" w:lastColumn="0" w:oddVBand="0" w:evenVBand="0" w:oddHBand="0" w:evenHBand="0" w:firstRowFirstColumn="0" w:firstRowLastColumn="0" w:lastRowFirstColumn="0" w:lastRowLastColumn="0"/>
              <w:rPr>
                <w:rFonts w:eastAsia="Droid Sans Fallback" w:cs="Lohit Hindi"/>
                <w:b/>
                <w:color w:val="00000A"/>
                <w:lang w:eastAsia="zh-CN" w:bidi="hi-IN"/>
              </w:rPr>
            </w:pPr>
            <w:r w:rsidRPr="007F14DD">
              <w:rPr>
                <w:rFonts w:eastAsia="Droid Sans Fallback" w:cs="Lohit Hindi"/>
                <w:b/>
                <w:color w:val="00000A"/>
                <w:lang w:eastAsia="zh-CN" w:bidi="hi-IN"/>
              </w:rPr>
              <w:t>$0-$240,865</w:t>
            </w:r>
          </w:p>
        </w:tc>
        <w:tc>
          <w:tcPr>
            <w:tcW w:w="1710" w:type="dxa"/>
          </w:tcPr>
          <w:p w:rsidR="006C4C9C" w:rsidRPr="007F14DD" w:rsidRDefault="006C4C9C" w:rsidP="007F14DD">
            <w:pPr>
              <w:cnfStyle w:val="000000000000" w:firstRow="0" w:lastRow="0" w:firstColumn="0" w:lastColumn="0" w:oddVBand="0" w:evenVBand="0" w:oddHBand="0" w:evenHBand="0" w:firstRowFirstColumn="0" w:firstRowLastColumn="0" w:lastRowFirstColumn="0" w:lastRowLastColumn="0"/>
              <w:rPr>
                <w:b/>
              </w:rPr>
            </w:pPr>
            <w:r w:rsidRPr="007F14DD">
              <w:rPr>
                <w:b/>
              </w:rPr>
              <w:t>1,858</w:t>
            </w:r>
          </w:p>
        </w:tc>
        <w:tc>
          <w:tcPr>
            <w:tcW w:w="3240" w:type="dxa"/>
          </w:tcPr>
          <w:p w:rsidR="006C4C9C" w:rsidRPr="007F14DD" w:rsidRDefault="006C4C9C" w:rsidP="007F14DD">
            <w:pPr>
              <w:cnfStyle w:val="000000000000" w:firstRow="0" w:lastRow="0" w:firstColumn="0" w:lastColumn="0" w:oddVBand="0" w:evenVBand="0" w:oddHBand="0" w:evenHBand="0" w:firstRowFirstColumn="0" w:firstRowLastColumn="0" w:lastRowFirstColumn="0" w:lastRowLastColumn="0"/>
              <w:rPr>
                <w:rFonts w:eastAsia="Droid Sans Fallback" w:cs="Lohit Hindi"/>
                <w:b/>
                <w:color w:val="00000A"/>
                <w:lang w:eastAsia="zh-CN" w:bidi="hi-IN"/>
              </w:rPr>
            </w:pPr>
            <w:r w:rsidRPr="007F14DD">
              <w:rPr>
                <w:rFonts w:eastAsia="Droid Sans Fallback" w:cs="Lohit Hindi"/>
                <w:b/>
                <w:color w:val="00000A"/>
                <w:lang w:eastAsia="zh-CN" w:bidi="hi-IN"/>
              </w:rPr>
              <w:t>64%</w:t>
            </w:r>
          </w:p>
        </w:tc>
      </w:tr>
      <w:tr w:rsidR="006C4C9C" w:rsidRPr="009C32E8" w:rsidTr="007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C4C9C" w:rsidRPr="002D1996" w:rsidRDefault="006C4C9C" w:rsidP="007F14DD">
            <w:pPr>
              <w:rPr>
                <w:b w:val="0"/>
              </w:rPr>
            </w:pPr>
            <w:r w:rsidRPr="002D1996">
              <w:rPr>
                <w:b w:val="0"/>
              </w:rPr>
              <w:t>80% ($63,900)</w:t>
            </w:r>
          </w:p>
        </w:tc>
        <w:tc>
          <w:tcPr>
            <w:tcW w:w="2070" w:type="dxa"/>
          </w:tcPr>
          <w:p w:rsidR="006C4C9C" w:rsidRPr="002D1996" w:rsidRDefault="006C4C9C" w:rsidP="007F14DD">
            <w:pPr>
              <w:cnfStyle w:val="000000100000" w:firstRow="0" w:lastRow="0" w:firstColumn="0" w:lastColumn="0" w:oddVBand="0" w:evenVBand="0" w:oddHBand="1" w:evenHBand="0" w:firstRowFirstColumn="0" w:firstRowLastColumn="0" w:lastRowFirstColumn="0" w:lastRowLastColumn="0"/>
              <w:rPr>
                <w:rFonts w:eastAsia="Droid Sans Fallback" w:cs="Lohit Hindi"/>
                <w:color w:val="00000A"/>
                <w:lang w:eastAsia="zh-CN" w:bidi="hi-IN"/>
              </w:rPr>
            </w:pPr>
            <w:r w:rsidRPr="002D1996">
              <w:rPr>
                <w:rFonts w:eastAsia="Droid Sans Fallback" w:cs="Lohit Hindi"/>
                <w:color w:val="00000A"/>
                <w:lang w:eastAsia="zh-CN" w:bidi="hi-IN"/>
              </w:rPr>
              <w:t>$0-$184,277</w:t>
            </w:r>
          </w:p>
        </w:tc>
        <w:tc>
          <w:tcPr>
            <w:tcW w:w="1710" w:type="dxa"/>
          </w:tcPr>
          <w:p w:rsidR="006C4C9C" w:rsidRPr="002D1996" w:rsidRDefault="006C4C9C" w:rsidP="007F14DD">
            <w:pPr>
              <w:cnfStyle w:val="000000100000" w:firstRow="0" w:lastRow="0" w:firstColumn="0" w:lastColumn="0" w:oddVBand="0" w:evenVBand="0" w:oddHBand="1" w:evenHBand="0" w:firstRowFirstColumn="0" w:firstRowLastColumn="0" w:lastRowFirstColumn="0" w:lastRowLastColumn="0"/>
            </w:pPr>
            <w:r w:rsidRPr="002D1996">
              <w:t>971</w:t>
            </w:r>
          </w:p>
        </w:tc>
        <w:tc>
          <w:tcPr>
            <w:tcW w:w="3240" w:type="dxa"/>
          </w:tcPr>
          <w:p w:rsidR="006C4C9C" w:rsidRPr="002D1996" w:rsidRDefault="006C4C9C" w:rsidP="007F14DD">
            <w:pPr>
              <w:cnfStyle w:val="000000100000" w:firstRow="0" w:lastRow="0" w:firstColumn="0" w:lastColumn="0" w:oddVBand="0" w:evenVBand="0" w:oddHBand="1" w:evenHBand="0" w:firstRowFirstColumn="0" w:firstRowLastColumn="0" w:lastRowFirstColumn="0" w:lastRowLastColumn="0"/>
              <w:rPr>
                <w:rFonts w:eastAsia="Droid Sans Fallback" w:cs="Lohit Hindi"/>
                <w:color w:val="00000A"/>
                <w:lang w:eastAsia="zh-CN" w:bidi="hi-IN"/>
              </w:rPr>
            </w:pPr>
            <w:r w:rsidRPr="002D1996">
              <w:rPr>
                <w:rFonts w:eastAsia="Droid Sans Fallback" w:cs="Lohit Hindi"/>
                <w:color w:val="00000A"/>
                <w:lang w:eastAsia="zh-CN" w:bidi="hi-IN"/>
              </w:rPr>
              <w:t>33%</w:t>
            </w:r>
          </w:p>
        </w:tc>
      </w:tr>
      <w:tr w:rsidR="006C4C9C" w:rsidRPr="009C32E8" w:rsidTr="007F14DD">
        <w:tc>
          <w:tcPr>
            <w:cnfStyle w:val="001000000000" w:firstRow="0" w:lastRow="0" w:firstColumn="1" w:lastColumn="0" w:oddVBand="0" w:evenVBand="0" w:oddHBand="0" w:evenHBand="0" w:firstRowFirstColumn="0" w:firstRowLastColumn="0" w:lastRowFirstColumn="0" w:lastRowLastColumn="0"/>
            <w:tcW w:w="3888" w:type="dxa"/>
          </w:tcPr>
          <w:p w:rsidR="006C4C9C" w:rsidRPr="002D1996" w:rsidRDefault="006C4C9C" w:rsidP="007F14DD">
            <w:pPr>
              <w:rPr>
                <w:b w:val="0"/>
              </w:rPr>
            </w:pPr>
            <w:r w:rsidRPr="002D1996">
              <w:rPr>
                <w:b w:val="0"/>
              </w:rPr>
              <w:t>60% ($52,860)</w:t>
            </w:r>
          </w:p>
        </w:tc>
        <w:tc>
          <w:tcPr>
            <w:tcW w:w="2070" w:type="dxa"/>
          </w:tcPr>
          <w:p w:rsidR="006C4C9C" w:rsidRPr="002D1996" w:rsidRDefault="006C4C9C" w:rsidP="007F14DD">
            <w:pPr>
              <w:cnfStyle w:val="000000000000" w:firstRow="0" w:lastRow="0" w:firstColumn="0" w:lastColumn="0" w:oddVBand="0" w:evenVBand="0" w:oddHBand="0" w:evenHBand="0" w:firstRowFirstColumn="0" w:firstRowLastColumn="0" w:lastRowFirstColumn="0" w:lastRowLastColumn="0"/>
              <w:rPr>
                <w:rFonts w:eastAsia="Droid Sans Fallback" w:cs="Lohit Hindi"/>
                <w:color w:val="00000A"/>
                <w:lang w:eastAsia="zh-CN" w:bidi="hi-IN"/>
              </w:rPr>
            </w:pPr>
            <w:r w:rsidRPr="002D1996">
              <w:rPr>
                <w:rFonts w:eastAsia="Droid Sans Fallback" w:cs="Lohit Hindi"/>
                <w:color w:val="00000A"/>
                <w:lang w:eastAsia="zh-CN" w:bidi="hi-IN"/>
              </w:rPr>
              <w:t>$0-$153,571</w:t>
            </w:r>
          </w:p>
        </w:tc>
        <w:tc>
          <w:tcPr>
            <w:tcW w:w="1710" w:type="dxa"/>
          </w:tcPr>
          <w:p w:rsidR="006C4C9C" w:rsidRPr="002D1996" w:rsidRDefault="006C4C9C" w:rsidP="007F14DD">
            <w:pPr>
              <w:cnfStyle w:val="000000000000" w:firstRow="0" w:lastRow="0" w:firstColumn="0" w:lastColumn="0" w:oddVBand="0" w:evenVBand="0" w:oddHBand="0" w:evenHBand="0" w:firstRowFirstColumn="0" w:firstRowLastColumn="0" w:lastRowFirstColumn="0" w:lastRowLastColumn="0"/>
            </w:pPr>
            <w:r w:rsidRPr="002D1996">
              <w:t>654</w:t>
            </w:r>
          </w:p>
        </w:tc>
        <w:tc>
          <w:tcPr>
            <w:tcW w:w="3240" w:type="dxa"/>
          </w:tcPr>
          <w:p w:rsidR="006C4C9C" w:rsidRPr="002D1996" w:rsidRDefault="006C4C9C" w:rsidP="007F14DD">
            <w:pPr>
              <w:ind w:left="159" w:hanging="159"/>
              <w:cnfStyle w:val="000000000000" w:firstRow="0" w:lastRow="0" w:firstColumn="0" w:lastColumn="0" w:oddVBand="0" w:evenVBand="0" w:oddHBand="0" w:evenHBand="0" w:firstRowFirstColumn="0" w:firstRowLastColumn="0" w:lastRowFirstColumn="0" w:lastRowLastColumn="0"/>
              <w:rPr>
                <w:rFonts w:eastAsia="Droid Sans Fallback" w:cs="Lohit Hindi"/>
                <w:color w:val="00000A"/>
                <w:lang w:eastAsia="zh-CN" w:bidi="hi-IN"/>
              </w:rPr>
            </w:pPr>
            <w:r w:rsidRPr="002D1996">
              <w:rPr>
                <w:rFonts w:eastAsia="Droid Sans Fallback" w:cs="Lohit Hindi"/>
                <w:color w:val="00000A"/>
                <w:lang w:eastAsia="zh-CN" w:bidi="hi-IN"/>
              </w:rPr>
              <w:t>23%</w:t>
            </w:r>
          </w:p>
        </w:tc>
      </w:tr>
      <w:tr w:rsidR="006C4C9C" w:rsidRPr="009C32E8" w:rsidTr="007F14D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908" w:type="dxa"/>
            <w:gridSpan w:val="4"/>
            <w:vAlign w:val="bottom"/>
          </w:tcPr>
          <w:p w:rsidR="006C4C9C" w:rsidRPr="00DB4A62" w:rsidRDefault="006C4C9C" w:rsidP="007F14DD">
            <w:pPr>
              <w:jc w:val="right"/>
              <w:rPr>
                <w:b w:val="0"/>
                <w:sz w:val="16"/>
                <w:szCs w:val="16"/>
              </w:rPr>
            </w:pPr>
            <w:r w:rsidRPr="00DB4A62">
              <w:rPr>
                <w:b w:val="0"/>
                <w:sz w:val="16"/>
                <w:szCs w:val="16"/>
              </w:rPr>
              <w:t xml:space="preserve">Source: </w:t>
            </w:r>
            <w:r>
              <w:rPr>
                <w:b w:val="0"/>
                <w:sz w:val="16"/>
                <w:szCs w:val="16"/>
              </w:rPr>
              <w:t>Newmarket</w:t>
            </w:r>
            <w:r w:rsidRPr="00DB4A62">
              <w:rPr>
                <w:b w:val="0"/>
                <w:sz w:val="16"/>
                <w:szCs w:val="16"/>
              </w:rPr>
              <w:t xml:space="preserve"> Assessing Database</w:t>
            </w:r>
          </w:p>
        </w:tc>
      </w:tr>
    </w:tbl>
    <w:p w:rsidR="00120602" w:rsidRPr="006C4C9C" w:rsidRDefault="00BE52AA" w:rsidP="00DB4A62">
      <w:pPr>
        <w:ind w:left="-720" w:right="-720"/>
      </w:pPr>
      <w:r w:rsidRPr="006C4C9C">
        <w:t xml:space="preserve">Of the </w:t>
      </w:r>
      <w:r w:rsidR="006D6662" w:rsidRPr="006C4C9C">
        <w:t>2,901</w:t>
      </w:r>
      <w:r w:rsidRPr="006C4C9C">
        <w:t xml:space="preserve"> single-family </w:t>
      </w:r>
      <w:r w:rsidR="006D6662" w:rsidRPr="006C4C9C">
        <w:t>housing units</w:t>
      </w:r>
      <w:r w:rsidRPr="006C4C9C">
        <w:t xml:space="preserve"> in </w:t>
      </w:r>
      <w:r w:rsidR="006D6662" w:rsidRPr="006C4C9C">
        <w:t>Newmarket</w:t>
      </w:r>
      <w:r w:rsidRPr="006C4C9C">
        <w:t xml:space="preserve">, </w:t>
      </w:r>
      <w:r w:rsidR="00DB4A62" w:rsidRPr="006C4C9C">
        <w:t>64</w:t>
      </w:r>
      <w:r w:rsidRPr="006C4C9C">
        <w:t>%</w:t>
      </w:r>
      <w:r w:rsidR="006C4C9C" w:rsidRPr="006C4C9C">
        <w:t xml:space="preserve"> (1,858)</w:t>
      </w:r>
      <w:r w:rsidRPr="006C4C9C">
        <w:t xml:space="preserve"> </w:t>
      </w:r>
      <w:r w:rsidR="006C4C9C" w:rsidRPr="006C4C9C">
        <w:t>of</w:t>
      </w:r>
      <w:r w:rsidRPr="006C4C9C">
        <w:t xml:space="preserve"> properties would be affordable to a household earning the median household income for a 4-Person owner-occupied unit.</w:t>
      </w:r>
    </w:p>
    <w:p w:rsidR="00E561F9" w:rsidRPr="00BE52AA" w:rsidRDefault="00E561F9" w:rsidP="00E561F9">
      <w:pPr>
        <w:pStyle w:val="Heading3"/>
        <w:ind w:left="-720" w:right="-720"/>
        <w:rPr>
          <w:sz w:val="28"/>
          <w:szCs w:val="28"/>
        </w:rPr>
      </w:pPr>
      <w:r>
        <w:rPr>
          <w:sz w:val="28"/>
          <w:szCs w:val="28"/>
        </w:rPr>
        <w:lastRenderedPageBreak/>
        <w:t>Rental Cost</w:t>
      </w:r>
      <w:r w:rsidRPr="00BE52AA">
        <w:rPr>
          <w:sz w:val="28"/>
          <w:szCs w:val="28"/>
        </w:rPr>
        <w:t xml:space="preserve"> Affordability </w:t>
      </w:r>
      <w:r w:rsidR="00203A92">
        <w:rPr>
          <w:sz w:val="28"/>
          <w:szCs w:val="28"/>
        </w:rPr>
        <w:t>Analysis</w:t>
      </w:r>
    </w:p>
    <w:p w:rsidR="00E561F9" w:rsidRPr="00100C02" w:rsidRDefault="007442FE" w:rsidP="00E561F9">
      <w:pPr>
        <w:ind w:left="-720" w:right="-720"/>
        <w:rPr>
          <w:color w:val="FF0000"/>
        </w:rPr>
      </w:pPr>
      <w:r w:rsidRPr="005F6C03">
        <w:t xml:space="preserve">As </w:t>
      </w:r>
      <w:r w:rsidR="001A748C">
        <w:t>previously indicated</w:t>
      </w:r>
      <w:r w:rsidRPr="005F6C03">
        <w:t xml:space="preserve">, Newmarket is home to a large rental housing stock occupied by young families, </w:t>
      </w:r>
      <w:r w:rsidR="001A748C">
        <w:t>low-to-</w:t>
      </w:r>
      <w:r w:rsidRPr="005F6C03">
        <w:t xml:space="preserve">middle income earners, and University of New Hampshire students. </w:t>
      </w:r>
      <w:r w:rsidR="00E561F9" w:rsidRPr="005F6C03">
        <w:t xml:space="preserve">This section discusses </w:t>
      </w:r>
      <w:r w:rsidR="00D66731">
        <w:t xml:space="preserve">the </w:t>
      </w:r>
      <w:r w:rsidRPr="005F6C03">
        <w:t>affordability of</w:t>
      </w:r>
      <w:r w:rsidR="00E561F9" w:rsidRPr="005F6C03">
        <w:t xml:space="preserve"> renting a </w:t>
      </w:r>
      <w:r w:rsidRPr="005F6C03">
        <w:t xml:space="preserve">housing </w:t>
      </w:r>
      <w:r w:rsidR="00B35129" w:rsidRPr="005F6C03">
        <w:t xml:space="preserve">unit, with utilities, in </w:t>
      </w:r>
      <w:r w:rsidR="00207C98" w:rsidRPr="005F6C03">
        <w:t>Newmarket</w:t>
      </w:r>
      <w:r w:rsidRPr="005F6C03">
        <w:t xml:space="preserve"> </w:t>
      </w:r>
      <w:r w:rsidR="00D66731">
        <w:t>in comparison with</w:t>
      </w:r>
      <w:r w:rsidRPr="005F6C03">
        <w:t xml:space="preserve"> the SRPC planning </w:t>
      </w:r>
      <w:r w:rsidR="001E25DD" w:rsidRPr="005F6C03">
        <w:t>region. Although</w:t>
      </w:r>
      <w:r w:rsidR="005F6C03" w:rsidRPr="005F6C03">
        <w:t xml:space="preserve"> the</w:t>
      </w:r>
      <w:r w:rsidR="00E561F9" w:rsidRPr="005F6C03">
        <w:t xml:space="preserve"> Town of </w:t>
      </w:r>
      <w:r w:rsidR="00207C98" w:rsidRPr="005F6C03">
        <w:t>Newmarket</w:t>
      </w:r>
      <w:r w:rsidR="00E561F9" w:rsidRPr="005F6C03">
        <w:t xml:space="preserve"> </w:t>
      </w:r>
      <w:r w:rsidR="005F6C03" w:rsidRPr="005F6C03">
        <w:t>does not maintain a</w:t>
      </w:r>
      <w:r w:rsidR="00E561F9" w:rsidRPr="005F6C03">
        <w:t xml:space="preserve"> </w:t>
      </w:r>
      <w:r w:rsidR="00D66731">
        <w:t xml:space="preserve">local </w:t>
      </w:r>
      <w:r w:rsidR="00E561F9" w:rsidRPr="005F6C03">
        <w:t>comprehensive rental database</w:t>
      </w:r>
      <w:r w:rsidR="00A30D41">
        <w:t xml:space="preserve">, </w:t>
      </w:r>
      <w:r w:rsidR="00E561F9" w:rsidRPr="005F6C03">
        <w:t>New Hampshire Housing Finance Authority</w:t>
      </w:r>
      <w:r w:rsidR="00A941B4">
        <w:t xml:space="preserve"> (NHHFA)</w:t>
      </w:r>
      <w:r w:rsidR="00E561F9" w:rsidRPr="005F6C03">
        <w:t xml:space="preserve"> conducts an annual Residential Rental Cost Survey throughout New Hampshire</w:t>
      </w:r>
      <w:r w:rsidR="005F6C03" w:rsidRPr="005F6C03">
        <w:t xml:space="preserve">’s </w:t>
      </w:r>
      <w:proofErr w:type="gramStart"/>
      <w:r w:rsidR="005F6C03" w:rsidRPr="005F6C03">
        <w:t>communities</w:t>
      </w:r>
      <w:r w:rsidR="00E561F9" w:rsidRPr="005F6C03">
        <w:t xml:space="preserve"> which</w:t>
      </w:r>
      <w:proofErr w:type="gramEnd"/>
      <w:r w:rsidR="00E561F9" w:rsidRPr="005F6C03">
        <w:t xml:space="preserve"> provides specific rental data </w:t>
      </w:r>
      <w:r w:rsidR="005F6C03" w:rsidRPr="005F6C03">
        <w:t>on the municipal level.</w:t>
      </w:r>
      <w:r w:rsidR="00E561F9" w:rsidRPr="005F6C03">
        <w:t xml:space="preserve">  The NHHFA Cost Survey </w:t>
      </w:r>
      <w:proofErr w:type="gramStart"/>
      <w:r w:rsidR="005F6C03" w:rsidRPr="005F6C03">
        <w:t>is intended</w:t>
      </w:r>
      <w:proofErr w:type="gramEnd"/>
      <w:r w:rsidR="005F6C03" w:rsidRPr="005F6C03">
        <w:t xml:space="preserve"> to avoid sampling of</w:t>
      </w:r>
      <w:r w:rsidR="00E561F9" w:rsidRPr="005F6C03">
        <w:t xml:space="preserve"> seasonal, part-time, or student housing units</w:t>
      </w:r>
      <w:r w:rsidR="005F6C03" w:rsidRPr="005F6C03">
        <w:t>, but some margin of error likely exists</w:t>
      </w:r>
      <w:r w:rsidR="00E561F9" w:rsidRPr="005F6C03">
        <w:t xml:space="preserve">. </w:t>
      </w:r>
      <w:r w:rsidR="005F6C03" w:rsidRPr="005F6C03">
        <w:t xml:space="preserve">Table </w:t>
      </w:r>
      <w:r w:rsidR="00FC6997">
        <w:t xml:space="preserve">15 below shows </w:t>
      </w:r>
      <w:r w:rsidR="00E561F9" w:rsidRPr="005F6C03">
        <w:t xml:space="preserve">median </w:t>
      </w:r>
      <w:r w:rsidR="00FC6997">
        <w:t xml:space="preserve">monthly </w:t>
      </w:r>
      <w:r w:rsidR="00E561F9" w:rsidRPr="005F6C03">
        <w:t xml:space="preserve">rental costs for </w:t>
      </w:r>
      <w:proofErr w:type="gramStart"/>
      <w:r w:rsidR="005F6C03" w:rsidRPr="005F6C03">
        <w:t>1</w:t>
      </w:r>
      <w:proofErr w:type="gramEnd"/>
      <w:r w:rsidR="005F6C03" w:rsidRPr="005F6C03">
        <w:t>, 2, and 3-bedroom units in</w:t>
      </w:r>
      <w:r w:rsidR="00E561F9" w:rsidRPr="005F6C03">
        <w:t xml:space="preserve"> 2013</w:t>
      </w:r>
      <w:r w:rsidR="005F6C03" w:rsidRPr="005F6C03">
        <w:t xml:space="preserve">, </w:t>
      </w:r>
      <w:r w:rsidR="00E561F9" w:rsidRPr="005F6C03">
        <w:t xml:space="preserve">in addition to all </w:t>
      </w:r>
      <w:r w:rsidR="005F6C03" w:rsidRPr="005F6C03">
        <w:t>sampled rental units.</w:t>
      </w:r>
    </w:p>
    <w:p w:rsidR="006D6662" w:rsidRPr="005F6C03" w:rsidRDefault="00A30D41" w:rsidP="006D6662">
      <w:pPr>
        <w:ind w:left="-720" w:right="-720"/>
      </w:pPr>
      <w:r>
        <w:t>U</w:t>
      </w:r>
      <w:r w:rsidRPr="005F6C03">
        <w:t xml:space="preserve">nder </w:t>
      </w:r>
      <w:r w:rsidR="00E561F9" w:rsidRPr="005F6C03">
        <w:t>the state statute,</w:t>
      </w:r>
      <w:r w:rsidR="00A941B4">
        <w:t xml:space="preserve"> in order for</w:t>
      </w:r>
      <w:r w:rsidR="00E561F9" w:rsidRPr="005F6C03">
        <w:t xml:space="preserve"> rental units</w:t>
      </w:r>
      <w:r w:rsidR="00A941B4">
        <w:t xml:space="preserve"> to</w:t>
      </w:r>
      <w:r w:rsidR="00E561F9" w:rsidRPr="005F6C03">
        <w:t xml:space="preserve"> be </w:t>
      </w:r>
      <w:r>
        <w:t xml:space="preserve">considered </w:t>
      </w:r>
      <w:r w:rsidR="00E561F9" w:rsidRPr="005F6C03">
        <w:t>“affordable</w:t>
      </w:r>
      <w:proofErr w:type="gramStart"/>
      <w:r>
        <w:t>”  they</w:t>
      </w:r>
      <w:proofErr w:type="gramEnd"/>
      <w:r>
        <w:t xml:space="preserve"> must be </w:t>
      </w:r>
      <w:r w:rsidR="001E25DD">
        <w:t>available</w:t>
      </w:r>
      <w:r w:rsidR="00A941B4">
        <w:t xml:space="preserve"> to</w:t>
      </w:r>
      <w:r w:rsidR="00E561F9" w:rsidRPr="005F6C03">
        <w:t xml:space="preserve"> a household with an income of no more than sixty (60%) percent of the median income for a three-person household” (RSA 674:58.IV). New Hampshire define</w:t>
      </w:r>
      <w:r w:rsidR="00A941B4">
        <w:t>s</w:t>
      </w:r>
      <w:r w:rsidR="00E561F9" w:rsidRPr="005F6C03">
        <w:t xml:space="preserve"> a</w:t>
      </w:r>
      <w:r w:rsidR="00A941B4">
        <w:t xml:space="preserve">ffordable rentals as </w:t>
      </w:r>
      <w:proofErr w:type="gramStart"/>
      <w:r w:rsidR="00A941B4">
        <w:t>units which</w:t>
      </w:r>
      <w:proofErr w:type="gramEnd"/>
      <w:r w:rsidR="00A941B4">
        <w:t xml:space="preserve">, in combination with utility costs, </w:t>
      </w:r>
      <w:r w:rsidR="00E561F9" w:rsidRPr="005F6C03">
        <w:t xml:space="preserve">do not exceed 30 percent of a household’s gross annual income (RSA 674:58.I). The HUD specified income threshold for a </w:t>
      </w:r>
      <w:proofErr w:type="gramStart"/>
      <w:r w:rsidR="00E561F9" w:rsidRPr="005F6C03">
        <w:t>three person</w:t>
      </w:r>
      <w:proofErr w:type="gramEnd"/>
      <w:r w:rsidR="00E561F9" w:rsidRPr="005F6C03">
        <w:t xml:space="preserve"> household in the Portsmouth-Rochester HFMR for 2013 was $47,580. </w:t>
      </w:r>
      <w:r w:rsidR="005F6C03" w:rsidRPr="005F6C03">
        <w:t xml:space="preserve">To </w:t>
      </w:r>
      <w:proofErr w:type="gramStart"/>
      <w:r w:rsidR="00A941B4">
        <w:t xml:space="preserve">be </w:t>
      </w:r>
      <w:r w:rsidR="00E561F9" w:rsidRPr="005F6C03">
        <w:t>consider</w:t>
      </w:r>
      <w:r w:rsidR="00A941B4">
        <w:t>ed</w:t>
      </w:r>
      <w:proofErr w:type="gramEnd"/>
      <w:r w:rsidR="00E561F9" w:rsidRPr="005F6C03">
        <w:t xml:space="preserve"> a rental unit affordable</w:t>
      </w:r>
      <w:r w:rsidR="005F6C03" w:rsidRPr="005F6C03">
        <w:t xml:space="preserve"> by definition</w:t>
      </w:r>
      <w:r w:rsidR="00E561F9" w:rsidRPr="005F6C03">
        <w:t xml:space="preserve"> in </w:t>
      </w:r>
      <w:r w:rsidR="00207C98" w:rsidRPr="005F6C03">
        <w:t>Newmarket</w:t>
      </w:r>
      <w:r w:rsidR="005F6C03" w:rsidRPr="005F6C03">
        <w:t>,</w:t>
      </w:r>
      <w:r w:rsidR="00E561F9" w:rsidRPr="005F6C03">
        <w:t xml:space="preserve"> the median annual costs would have to be less than $14,274.</w:t>
      </w:r>
    </w:p>
    <w:tbl>
      <w:tblPr>
        <w:tblStyle w:val="ColorfulList"/>
        <w:tblpPr w:leftFromText="180" w:rightFromText="180" w:vertAnchor="text" w:horzAnchor="margin" w:tblpXSpec="center" w:tblpY="81"/>
        <w:tblW w:w="0" w:type="auto"/>
        <w:tblLook w:val="04A0" w:firstRow="1" w:lastRow="0" w:firstColumn="1" w:lastColumn="0" w:noHBand="0" w:noVBand="1"/>
      </w:tblPr>
      <w:tblGrid>
        <w:gridCol w:w="1456"/>
        <w:gridCol w:w="1620"/>
        <w:gridCol w:w="1982"/>
        <w:gridCol w:w="2070"/>
        <w:gridCol w:w="1980"/>
      </w:tblGrid>
      <w:tr w:rsidR="00207C98" w:rsidRPr="00567579" w:rsidTr="0020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8" w:type="dxa"/>
            <w:gridSpan w:val="5"/>
          </w:tcPr>
          <w:p w:rsidR="00207C98" w:rsidRPr="00567579" w:rsidRDefault="00207C98" w:rsidP="001B6562">
            <w:pPr>
              <w:rPr>
                <w:b w:val="0"/>
                <w:color w:val="auto"/>
                <w:sz w:val="28"/>
                <w:szCs w:val="28"/>
              </w:rPr>
            </w:pPr>
            <w:r w:rsidRPr="00567579">
              <w:rPr>
                <w:b w:val="0"/>
                <w:sz w:val="28"/>
                <w:szCs w:val="28"/>
              </w:rPr>
              <w:t xml:space="preserve">Table </w:t>
            </w:r>
            <w:r w:rsidR="001B6562">
              <w:rPr>
                <w:b w:val="0"/>
                <w:sz w:val="28"/>
                <w:szCs w:val="28"/>
              </w:rPr>
              <w:t>15</w:t>
            </w:r>
            <w:r w:rsidRPr="00567579">
              <w:rPr>
                <w:b w:val="0"/>
                <w:sz w:val="28"/>
                <w:szCs w:val="28"/>
              </w:rPr>
              <w:t xml:space="preserve">: 2013 Newmarket </w:t>
            </w:r>
            <w:r w:rsidR="00A941B4">
              <w:rPr>
                <w:b w:val="0"/>
                <w:sz w:val="28"/>
                <w:szCs w:val="28"/>
              </w:rPr>
              <w:t xml:space="preserve">Average </w:t>
            </w:r>
            <w:r w:rsidRPr="00567579">
              <w:rPr>
                <w:b w:val="0"/>
                <w:sz w:val="28"/>
                <w:szCs w:val="28"/>
              </w:rPr>
              <w:t>Gross Monthly Rental Costs</w:t>
            </w:r>
          </w:p>
        </w:tc>
      </w:tr>
      <w:tr w:rsidR="00207C98" w:rsidRPr="00567579" w:rsidTr="00207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207C98" w:rsidRPr="00567579" w:rsidRDefault="00207C98" w:rsidP="00207C98">
            <w:pPr>
              <w:rPr>
                <w:b w:val="0"/>
                <w:color w:val="auto"/>
                <w:sz w:val="22"/>
                <w:szCs w:val="22"/>
              </w:rPr>
            </w:pPr>
          </w:p>
        </w:tc>
        <w:tc>
          <w:tcPr>
            <w:tcW w:w="162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All Units</w:t>
            </w:r>
          </w:p>
        </w:tc>
        <w:tc>
          <w:tcPr>
            <w:tcW w:w="1982"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1-Bedroom Units</w:t>
            </w:r>
          </w:p>
        </w:tc>
        <w:tc>
          <w:tcPr>
            <w:tcW w:w="207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2-Bedroom Units</w:t>
            </w:r>
          </w:p>
        </w:tc>
        <w:tc>
          <w:tcPr>
            <w:tcW w:w="198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3-Bedroom Units</w:t>
            </w:r>
          </w:p>
        </w:tc>
      </w:tr>
      <w:tr w:rsidR="00207C98" w:rsidRPr="00567579" w:rsidTr="00207C98">
        <w:tc>
          <w:tcPr>
            <w:cnfStyle w:val="001000000000" w:firstRow="0" w:lastRow="0" w:firstColumn="1" w:lastColumn="0" w:oddVBand="0" w:evenVBand="0" w:oddHBand="0" w:evenHBand="0" w:firstRowFirstColumn="0" w:firstRowLastColumn="0" w:lastRowFirstColumn="0" w:lastRowLastColumn="0"/>
            <w:tcW w:w="1456" w:type="dxa"/>
          </w:tcPr>
          <w:p w:rsidR="00207C98" w:rsidRPr="00567579" w:rsidRDefault="00207C98" w:rsidP="00207C98">
            <w:pPr>
              <w:rPr>
                <w:b w:val="0"/>
                <w:color w:val="auto"/>
                <w:sz w:val="22"/>
                <w:szCs w:val="22"/>
              </w:rPr>
            </w:pPr>
            <w:r>
              <w:rPr>
                <w:b w:val="0"/>
                <w:color w:val="auto"/>
                <w:sz w:val="22"/>
                <w:szCs w:val="22"/>
              </w:rPr>
              <w:t>Newmarket</w:t>
            </w:r>
          </w:p>
        </w:tc>
        <w:tc>
          <w:tcPr>
            <w:tcW w:w="1620"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$1,267</w:t>
            </w:r>
          </w:p>
        </w:tc>
        <w:tc>
          <w:tcPr>
            <w:tcW w:w="1982"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$931</w:t>
            </w:r>
          </w:p>
        </w:tc>
        <w:tc>
          <w:tcPr>
            <w:tcW w:w="2070"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$1,267</w:t>
            </w:r>
          </w:p>
        </w:tc>
        <w:tc>
          <w:tcPr>
            <w:tcW w:w="1980"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$1,927</w:t>
            </w:r>
          </w:p>
        </w:tc>
      </w:tr>
      <w:tr w:rsidR="00207C98" w:rsidRPr="00567579" w:rsidTr="00207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207C98" w:rsidRPr="00567579" w:rsidRDefault="00207C98" w:rsidP="00207C98">
            <w:pPr>
              <w:rPr>
                <w:b w:val="0"/>
                <w:color w:val="auto"/>
                <w:sz w:val="22"/>
                <w:szCs w:val="22"/>
              </w:rPr>
            </w:pPr>
            <w:r w:rsidRPr="00567579">
              <w:rPr>
                <w:b w:val="0"/>
                <w:color w:val="auto"/>
                <w:sz w:val="22"/>
                <w:szCs w:val="22"/>
              </w:rPr>
              <w:t>Region</w:t>
            </w:r>
          </w:p>
        </w:tc>
        <w:tc>
          <w:tcPr>
            <w:tcW w:w="162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$967</w:t>
            </w:r>
          </w:p>
        </w:tc>
        <w:tc>
          <w:tcPr>
            <w:tcW w:w="1982"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$745</w:t>
            </w:r>
          </w:p>
        </w:tc>
        <w:tc>
          <w:tcPr>
            <w:tcW w:w="207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$1,012</w:t>
            </w:r>
          </w:p>
        </w:tc>
        <w:tc>
          <w:tcPr>
            <w:tcW w:w="198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$1,395</w:t>
            </w:r>
          </w:p>
        </w:tc>
      </w:tr>
      <w:tr w:rsidR="00207C98" w:rsidRPr="00567579" w:rsidTr="00207C98">
        <w:tc>
          <w:tcPr>
            <w:cnfStyle w:val="001000000000" w:firstRow="0" w:lastRow="0" w:firstColumn="1" w:lastColumn="0" w:oddVBand="0" w:evenVBand="0" w:oddHBand="0" w:evenHBand="0" w:firstRowFirstColumn="0" w:firstRowLastColumn="0" w:lastRowFirstColumn="0" w:lastRowLastColumn="0"/>
            <w:tcW w:w="9108" w:type="dxa"/>
            <w:gridSpan w:val="5"/>
          </w:tcPr>
          <w:p w:rsidR="00207C98" w:rsidRPr="00567579" w:rsidRDefault="00207C98" w:rsidP="00207C98">
            <w:pPr>
              <w:jc w:val="right"/>
              <w:rPr>
                <w:rFonts w:eastAsia="Droid Sans Fallback" w:cs="Lohit Hindi"/>
                <w:b w:val="0"/>
                <w:color w:val="auto"/>
                <w:sz w:val="16"/>
                <w:szCs w:val="16"/>
                <w:lang w:eastAsia="zh-CN" w:bidi="hi-IN"/>
              </w:rPr>
            </w:pPr>
            <w:r w:rsidRPr="00567579">
              <w:rPr>
                <w:rFonts w:eastAsia="Droid Sans Fallback" w:cs="Lohit Hindi"/>
                <w:b w:val="0"/>
                <w:color w:val="auto"/>
                <w:sz w:val="16"/>
                <w:szCs w:val="16"/>
                <w:lang w:eastAsia="zh-CN" w:bidi="hi-IN"/>
              </w:rPr>
              <w:t>Source: New Hampshire Housing Finance Authority</w:t>
            </w:r>
          </w:p>
        </w:tc>
      </w:tr>
    </w:tbl>
    <w:p w:rsidR="00207C98" w:rsidRDefault="00207C98" w:rsidP="006D6662">
      <w:pPr>
        <w:ind w:left="-720" w:right="-720"/>
      </w:pPr>
    </w:p>
    <w:p w:rsidR="006D6662" w:rsidRPr="005F6C03" w:rsidRDefault="00A941B4" w:rsidP="006D6662">
      <w:pPr>
        <w:ind w:left="-720" w:right="-720"/>
      </w:pPr>
      <w:r>
        <w:t xml:space="preserve">As shown in Table 16 below, </w:t>
      </w:r>
      <w:r w:rsidR="00207C98" w:rsidRPr="005F6C03">
        <w:t>Newmarket</w:t>
      </w:r>
      <w:r w:rsidR="00E561F9" w:rsidRPr="005F6C03">
        <w:t xml:space="preserve">’s median rental prices for </w:t>
      </w:r>
      <w:r w:rsidR="00207C98" w:rsidRPr="005F6C03">
        <w:t>1</w:t>
      </w:r>
      <w:r w:rsidR="00E561F9" w:rsidRPr="005F6C03">
        <w:t>-bedroom</w:t>
      </w:r>
      <w:r w:rsidR="00207C98" w:rsidRPr="005F6C03">
        <w:t xml:space="preserve"> units</w:t>
      </w:r>
      <w:r w:rsidR="00E561F9" w:rsidRPr="005F6C03">
        <w:t xml:space="preserve"> are below the $14,274 </w:t>
      </w:r>
      <w:r w:rsidR="005F6C03" w:rsidRPr="005F6C03">
        <w:t xml:space="preserve">cost </w:t>
      </w:r>
      <w:r w:rsidR="00E561F9" w:rsidRPr="005F6C03">
        <w:t xml:space="preserve">threshold. However, </w:t>
      </w:r>
      <w:proofErr w:type="gramStart"/>
      <w:r w:rsidR="00207C98" w:rsidRPr="005F6C03">
        <w:t>2</w:t>
      </w:r>
      <w:proofErr w:type="gramEnd"/>
      <w:r w:rsidR="00207C98" w:rsidRPr="005F6C03">
        <w:t xml:space="preserve"> and 3 </w:t>
      </w:r>
      <w:r w:rsidR="00E561F9" w:rsidRPr="005F6C03">
        <w:t>bedroom unit median rental cost</w:t>
      </w:r>
      <w:r w:rsidR="00207C98" w:rsidRPr="005F6C03">
        <w:t>s, and the overall median rental cost,</w:t>
      </w:r>
      <w:r w:rsidR="00045BB9">
        <w:t xml:space="preserve"> are</w:t>
      </w:r>
      <w:r w:rsidR="00E561F9" w:rsidRPr="005F6C03">
        <w:t xml:space="preserve"> not considered affordable by definition</w:t>
      </w:r>
      <w:r w:rsidR="00207C98" w:rsidRPr="005F6C03">
        <w:t xml:space="preserve">. </w:t>
      </w:r>
      <w:r w:rsidR="005F6C03" w:rsidRPr="005F6C03">
        <w:t xml:space="preserve">In fact, </w:t>
      </w:r>
      <w:r w:rsidR="00207C98" w:rsidRPr="005F6C03">
        <w:t xml:space="preserve">Newmarket’s 3-bedroom </w:t>
      </w:r>
      <w:r w:rsidR="001A748C">
        <w:t xml:space="preserve">annual </w:t>
      </w:r>
      <w:r w:rsidR="00207C98" w:rsidRPr="005F6C03">
        <w:t>median</w:t>
      </w:r>
      <w:r w:rsidR="001A748C">
        <w:t xml:space="preserve"> rental</w:t>
      </w:r>
      <w:r w:rsidR="00207C98" w:rsidRPr="005F6C03">
        <w:t xml:space="preserve"> costs are more than $5,000 </w:t>
      </w:r>
      <w:r w:rsidR="005F6C03" w:rsidRPr="005F6C03">
        <w:t xml:space="preserve">higher </w:t>
      </w:r>
      <w:r w:rsidR="00207C98" w:rsidRPr="005F6C03">
        <w:t xml:space="preserve">than the </w:t>
      </w:r>
      <w:r w:rsidR="005F6C03" w:rsidRPr="005F6C03">
        <w:t xml:space="preserve">SRPC </w:t>
      </w:r>
      <w:r w:rsidR="00207C98" w:rsidRPr="005F6C03">
        <w:t xml:space="preserve">regional 3-bedroom median value, and nearly $10,000 </w:t>
      </w:r>
      <w:r w:rsidR="005F6C03" w:rsidRPr="005F6C03">
        <w:t>higher</w:t>
      </w:r>
      <w:r w:rsidR="00207C98" w:rsidRPr="005F6C03">
        <w:t xml:space="preserve"> than the affordable rental threshold.</w:t>
      </w:r>
      <w:r w:rsidR="001A748C">
        <w:t xml:space="preserve"> This </w:t>
      </w:r>
      <w:proofErr w:type="gramStart"/>
      <w:r w:rsidR="001A748C">
        <w:t xml:space="preserve">can be </w:t>
      </w:r>
      <w:r w:rsidR="0055541C">
        <w:t xml:space="preserve">primarily </w:t>
      </w:r>
      <w:r w:rsidR="001A748C">
        <w:t>attributed</w:t>
      </w:r>
      <w:proofErr w:type="gramEnd"/>
      <w:r w:rsidR="001A748C">
        <w:t xml:space="preserve"> to historically stable rental cost growth in Newmarket, a generally attractive rental housing stock, and the Town’s proximity to destinations such as the University of New Hampshire and Portsmouth.</w:t>
      </w:r>
    </w:p>
    <w:tbl>
      <w:tblPr>
        <w:tblStyle w:val="ColorfulList"/>
        <w:tblpPr w:leftFromText="180" w:rightFromText="180" w:vertAnchor="text" w:horzAnchor="margin" w:tblpXSpec="center" w:tblpY="229"/>
        <w:tblW w:w="0" w:type="auto"/>
        <w:tblLook w:val="04A0" w:firstRow="1" w:lastRow="0" w:firstColumn="1" w:lastColumn="0" w:noHBand="0" w:noVBand="1"/>
      </w:tblPr>
      <w:tblGrid>
        <w:gridCol w:w="1456"/>
        <w:gridCol w:w="1442"/>
        <w:gridCol w:w="1980"/>
        <w:gridCol w:w="1980"/>
        <w:gridCol w:w="2070"/>
      </w:tblGrid>
      <w:tr w:rsidR="00207C98" w:rsidRPr="00567579" w:rsidTr="00207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8" w:type="dxa"/>
            <w:gridSpan w:val="5"/>
          </w:tcPr>
          <w:p w:rsidR="00207C98" w:rsidRPr="00567579" w:rsidRDefault="00207C98" w:rsidP="001B6562">
            <w:pPr>
              <w:rPr>
                <w:b w:val="0"/>
                <w:sz w:val="28"/>
                <w:szCs w:val="28"/>
              </w:rPr>
            </w:pPr>
            <w:r w:rsidRPr="00567579">
              <w:rPr>
                <w:b w:val="0"/>
                <w:sz w:val="28"/>
                <w:szCs w:val="28"/>
              </w:rPr>
              <w:t xml:space="preserve">Table </w:t>
            </w:r>
            <w:r w:rsidR="001B6562">
              <w:rPr>
                <w:b w:val="0"/>
                <w:sz w:val="28"/>
                <w:szCs w:val="28"/>
              </w:rPr>
              <w:t>16</w:t>
            </w:r>
            <w:r w:rsidRPr="00567579">
              <w:rPr>
                <w:b w:val="0"/>
                <w:sz w:val="28"/>
                <w:szCs w:val="28"/>
              </w:rPr>
              <w:t xml:space="preserve">: </w:t>
            </w:r>
            <w:r>
              <w:rPr>
                <w:b w:val="0"/>
                <w:sz w:val="28"/>
                <w:szCs w:val="28"/>
              </w:rPr>
              <w:t xml:space="preserve">2013 </w:t>
            </w:r>
            <w:r w:rsidRPr="00567579">
              <w:rPr>
                <w:b w:val="0"/>
                <w:sz w:val="28"/>
                <w:szCs w:val="28"/>
              </w:rPr>
              <w:t>Newmarket Gross Annual Rental Costs</w:t>
            </w:r>
          </w:p>
        </w:tc>
      </w:tr>
      <w:tr w:rsidR="00207C98" w:rsidRPr="00567579" w:rsidTr="00207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207C98" w:rsidRPr="00567579" w:rsidRDefault="00207C98" w:rsidP="00207C98">
            <w:pPr>
              <w:rPr>
                <w:b w:val="0"/>
                <w:color w:val="auto"/>
                <w:sz w:val="22"/>
                <w:szCs w:val="22"/>
              </w:rPr>
            </w:pPr>
          </w:p>
        </w:tc>
        <w:tc>
          <w:tcPr>
            <w:tcW w:w="1442"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All Units</w:t>
            </w:r>
          </w:p>
        </w:tc>
        <w:tc>
          <w:tcPr>
            <w:tcW w:w="198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1-Bedroom Units</w:t>
            </w:r>
          </w:p>
        </w:tc>
        <w:tc>
          <w:tcPr>
            <w:tcW w:w="198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2-Bedroom Units</w:t>
            </w:r>
          </w:p>
        </w:tc>
        <w:tc>
          <w:tcPr>
            <w:tcW w:w="207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567579">
              <w:rPr>
                <w:color w:val="auto"/>
                <w:sz w:val="22"/>
                <w:szCs w:val="22"/>
              </w:rPr>
              <w:t>3-Bedroom Units</w:t>
            </w:r>
          </w:p>
        </w:tc>
      </w:tr>
      <w:tr w:rsidR="00207C98" w:rsidRPr="00567579" w:rsidTr="00207C98">
        <w:tc>
          <w:tcPr>
            <w:cnfStyle w:val="001000000000" w:firstRow="0" w:lastRow="0" w:firstColumn="1" w:lastColumn="0" w:oddVBand="0" w:evenVBand="0" w:oddHBand="0" w:evenHBand="0" w:firstRowFirstColumn="0" w:firstRowLastColumn="0" w:lastRowFirstColumn="0" w:lastRowLastColumn="0"/>
            <w:tcW w:w="1456" w:type="dxa"/>
          </w:tcPr>
          <w:p w:rsidR="00207C98" w:rsidRPr="00567579" w:rsidRDefault="00207C98" w:rsidP="00207C98">
            <w:pPr>
              <w:rPr>
                <w:b w:val="0"/>
                <w:color w:val="auto"/>
                <w:sz w:val="22"/>
                <w:szCs w:val="22"/>
              </w:rPr>
            </w:pPr>
            <w:r>
              <w:rPr>
                <w:b w:val="0"/>
                <w:color w:val="auto"/>
                <w:sz w:val="22"/>
                <w:szCs w:val="22"/>
              </w:rPr>
              <w:t>Newmarket</w:t>
            </w:r>
          </w:p>
        </w:tc>
        <w:tc>
          <w:tcPr>
            <w:tcW w:w="1442"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w:t>
            </w:r>
            <w:r>
              <w:rPr>
                <w:rFonts w:eastAsia="Droid Sans Fallback" w:cs="Lohit Hindi"/>
                <w:color w:val="auto"/>
                <w:sz w:val="22"/>
                <w:szCs w:val="22"/>
                <w:lang w:eastAsia="zh-CN" w:bidi="hi-IN"/>
              </w:rPr>
              <w:t>15,204</w:t>
            </w:r>
          </w:p>
        </w:tc>
        <w:tc>
          <w:tcPr>
            <w:tcW w:w="1980"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w:t>
            </w:r>
            <w:r>
              <w:rPr>
                <w:rFonts w:eastAsia="Droid Sans Fallback" w:cs="Lohit Hindi"/>
                <w:color w:val="auto"/>
                <w:sz w:val="22"/>
                <w:szCs w:val="22"/>
                <w:lang w:eastAsia="zh-CN" w:bidi="hi-IN"/>
              </w:rPr>
              <w:t>11,172</w:t>
            </w:r>
          </w:p>
        </w:tc>
        <w:tc>
          <w:tcPr>
            <w:tcW w:w="1980"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w:t>
            </w:r>
            <w:r>
              <w:rPr>
                <w:rFonts w:eastAsia="Droid Sans Fallback" w:cs="Lohit Hindi"/>
                <w:color w:val="auto"/>
                <w:sz w:val="22"/>
                <w:szCs w:val="22"/>
                <w:lang w:eastAsia="zh-CN" w:bidi="hi-IN"/>
              </w:rPr>
              <w:t>15,204</w:t>
            </w:r>
          </w:p>
        </w:tc>
        <w:tc>
          <w:tcPr>
            <w:tcW w:w="2070" w:type="dxa"/>
          </w:tcPr>
          <w:p w:rsidR="00207C98" w:rsidRPr="00567579" w:rsidRDefault="00207C98" w:rsidP="00207C98">
            <w:pPr>
              <w:cnfStyle w:val="000000000000" w:firstRow="0" w:lastRow="0" w:firstColumn="0" w:lastColumn="0" w:oddVBand="0" w:evenVBand="0" w:oddHBand="0"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w:t>
            </w:r>
            <w:r>
              <w:rPr>
                <w:rFonts w:eastAsia="Droid Sans Fallback" w:cs="Lohit Hindi"/>
                <w:color w:val="auto"/>
                <w:sz w:val="22"/>
                <w:szCs w:val="22"/>
                <w:lang w:eastAsia="zh-CN" w:bidi="hi-IN"/>
              </w:rPr>
              <w:t>23,124</w:t>
            </w:r>
          </w:p>
        </w:tc>
      </w:tr>
      <w:tr w:rsidR="00207C98" w:rsidRPr="00567579" w:rsidTr="00207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207C98" w:rsidRPr="00567579" w:rsidRDefault="00207C98" w:rsidP="00207C98">
            <w:pPr>
              <w:rPr>
                <w:b w:val="0"/>
                <w:color w:val="auto"/>
                <w:sz w:val="22"/>
                <w:szCs w:val="22"/>
              </w:rPr>
            </w:pPr>
            <w:r w:rsidRPr="00567579">
              <w:rPr>
                <w:b w:val="0"/>
                <w:color w:val="auto"/>
                <w:sz w:val="22"/>
                <w:szCs w:val="22"/>
              </w:rPr>
              <w:t>Region</w:t>
            </w:r>
          </w:p>
        </w:tc>
        <w:tc>
          <w:tcPr>
            <w:tcW w:w="1442"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$11,604</w:t>
            </w:r>
          </w:p>
        </w:tc>
        <w:tc>
          <w:tcPr>
            <w:tcW w:w="198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$8,940</w:t>
            </w:r>
          </w:p>
        </w:tc>
        <w:tc>
          <w:tcPr>
            <w:tcW w:w="198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$12,144</w:t>
            </w:r>
          </w:p>
        </w:tc>
        <w:tc>
          <w:tcPr>
            <w:tcW w:w="2070" w:type="dxa"/>
          </w:tcPr>
          <w:p w:rsidR="00207C98" w:rsidRPr="00567579" w:rsidRDefault="00207C98" w:rsidP="00207C98">
            <w:pPr>
              <w:cnfStyle w:val="000000100000" w:firstRow="0" w:lastRow="0" w:firstColumn="0" w:lastColumn="0" w:oddVBand="0" w:evenVBand="0" w:oddHBand="1" w:evenHBand="0" w:firstRowFirstColumn="0" w:firstRowLastColumn="0" w:lastRowFirstColumn="0" w:lastRowLastColumn="0"/>
              <w:rPr>
                <w:rFonts w:eastAsia="Droid Sans Fallback" w:cs="Lohit Hindi"/>
                <w:color w:val="auto"/>
                <w:sz w:val="22"/>
                <w:szCs w:val="22"/>
                <w:lang w:eastAsia="zh-CN" w:bidi="hi-IN"/>
              </w:rPr>
            </w:pPr>
            <w:r w:rsidRPr="00567579">
              <w:rPr>
                <w:rFonts w:eastAsia="Droid Sans Fallback" w:cs="Lohit Hindi"/>
                <w:color w:val="auto"/>
                <w:sz w:val="22"/>
                <w:szCs w:val="22"/>
                <w:lang w:eastAsia="zh-CN" w:bidi="hi-IN"/>
              </w:rPr>
              <w:t>$16,740</w:t>
            </w:r>
          </w:p>
        </w:tc>
      </w:tr>
      <w:tr w:rsidR="00207C98" w:rsidRPr="00567579" w:rsidTr="00207C98">
        <w:tc>
          <w:tcPr>
            <w:cnfStyle w:val="001000000000" w:firstRow="0" w:lastRow="0" w:firstColumn="1" w:lastColumn="0" w:oddVBand="0" w:evenVBand="0" w:oddHBand="0" w:evenHBand="0" w:firstRowFirstColumn="0" w:firstRowLastColumn="0" w:lastRowFirstColumn="0" w:lastRowLastColumn="0"/>
            <w:tcW w:w="8928" w:type="dxa"/>
            <w:gridSpan w:val="5"/>
          </w:tcPr>
          <w:p w:rsidR="00207C98" w:rsidRPr="00567579" w:rsidRDefault="00207C98" w:rsidP="00207C98">
            <w:pPr>
              <w:jc w:val="right"/>
              <w:rPr>
                <w:rFonts w:eastAsia="Droid Sans Fallback" w:cs="Lohit Hindi"/>
                <w:b w:val="0"/>
                <w:color w:val="auto"/>
                <w:sz w:val="16"/>
                <w:szCs w:val="16"/>
                <w:lang w:eastAsia="zh-CN" w:bidi="hi-IN"/>
              </w:rPr>
            </w:pPr>
            <w:r w:rsidRPr="00567579">
              <w:rPr>
                <w:rFonts w:eastAsia="Droid Sans Fallback" w:cs="Lohit Hindi"/>
                <w:b w:val="0"/>
                <w:color w:val="auto"/>
                <w:sz w:val="16"/>
                <w:szCs w:val="16"/>
                <w:lang w:eastAsia="zh-CN" w:bidi="hi-IN"/>
              </w:rPr>
              <w:t>Source: New Hampshire Housing Finance Authority</w:t>
            </w:r>
          </w:p>
        </w:tc>
      </w:tr>
    </w:tbl>
    <w:p w:rsidR="00E561F9" w:rsidRPr="00AB55CD" w:rsidRDefault="00E561F9" w:rsidP="006D6662">
      <w:pPr>
        <w:ind w:left="-720" w:right="-720"/>
        <w:rPr>
          <w:color w:val="FF0000"/>
        </w:rPr>
      </w:pPr>
    </w:p>
    <w:p w:rsidR="00BE52AA" w:rsidRPr="00E561F9" w:rsidRDefault="00BE52AA" w:rsidP="00E561F9">
      <w:pPr>
        <w:ind w:left="-720" w:right="-720"/>
      </w:pPr>
    </w:p>
    <w:p w:rsidR="00BE52AA" w:rsidRPr="00BE52AA" w:rsidRDefault="00BE52AA" w:rsidP="00BE52AA">
      <w:pPr>
        <w:ind w:left="-720" w:right="-720"/>
      </w:pPr>
      <w:r>
        <w:rPr>
          <w:i/>
          <w:sz w:val="28"/>
          <w:szCs w:val="28"/>
        </w:rPr>
        <w:br w:type="page"/>
      </w:r>
    </w:p>
    <w:p w:rsidR="002C7971" w:rsidRPr="009617CD" w:rsidRDefault="002C7971" w:rsidP="009617CD">
      <w:pPr>
        <w:pStyle w:val="Heading3"/>
        <w:ind w:left="-720" w:right="-720"/>
        <w:rPr>
          <w:rFonts w:eastAsia="Droid Sans Fallback"/>
          <w:sz w:val="28"/>
          <w:szCs w:val="28"/>
          <w:lang w:eastAsia="zh-CN" w:bidi="hi-IN"/>
        </w:rPr>
      </w:pPr>
      <w:r w:rsidRPr="009617CD">
        <w:rPr>
          <w:rFonts w:eastAsia="Droid Sans Fallback"/>
          <w:sz w:val="28"/>
          <w:szCs w:val="28"/>
          <w:lang w:eastAsia="zh-CN" w:bidi="hi-IN"/>
        </w:rPr>
        <w:lastRenderedPageBreak/>
        <w:t>Housing Unit Projections</w:t>
      </w:r>
    </w:p>
    <w:p w:rsidR="005F6C03" w:rsidRDefault="002C7971" w:rsidP="005F6C03">
      <w:pPr>
        <w:widowControl w:val="0"/>
        <w:tabs>
          <w:tab w:val="left" w:pos="709"/>
        </w:tabs>
        <w:suppressAutoHyphens/>
        <w:spacing w:after="0"/>
        <w:ind w:left="-720" w:right="-720"/>
        <w:rPr>
          <w:noProof/>
          <w:color w:val="FF0000"/>
          <w:sz w:val="18"/>
          <w:szCs w:val="18"/>
        </w:rPr>
      </w:pPr>
      <w:r w:rsidRPr="005F6C03">
        <w:t xml:space="preserve">As </w:t>
      </w:r>
      <w:r w:rsidR="005F6C03" w:rsidRPr="005F6C03">
        <w:t xml:space="preserve">suggested in the </w:t>
      </w:r>
      <w:r w:rsidR="00030C22">
        <w:t>P</w:t>
      </w:r>
      <w:r w:rsidR="005F6C03" w:rsidRPr="005F6C03">
        <w:t xml:space="preserve">opulation </w:t>
      </w:r>
      <w:r w:rsidR="00030C22">
        <w:t>P</w:t>
      </w:r>
      <w:r w:rsidR="005F6C03" w:rsidRPr="005F6C03">
        <w:t>rojection</w:t>
      </w:r>
      <w:r w:rsidR="00030C22">
        <w:t>s</w:t>
      </w:r>
      <w:r w:rsidR="005F6C03" w:rsidRPr="005F6C03">
        <w:t xml:space="preserve"> section of th</w:t>
      </w:r>
      <w:r w:rsidR="000D6F21">
        <w:t>is</w:t>
      </w:r>
      <w:r w:rsidR="005F6C03" w:rsidRPr="005F6C03">
        <w:t xml:space="preserve"> Housing </w:t>
      </w:r>
      <w:r w:rsidR="00030C22">
        <w:t>and Demographics chapter</w:t>
      </w:r>
      <w:r w:rsidR="005F6C03" w:rsidRPr="005F6C03">
        <w:t xml:space="preserve">, </w:t>
      </w:r>
      <w:r w:rsidR="0040486A" w:rsidRPr="005F6C03">
        <w:t xml:space="preserve">Newmarket </w:t>
      </w:r>
      <w:proofErr w:type="gramStart"/>
      <w:r w:rsidR="0040486A" w:rsidRPr="005F6C03">
        <w:t>is expected</w:t>
      </w:r>
      <w:proofErr w:type="gramEnd"/>
      <w:r w:rsidR="0040486A" w:rsidRPr="005F6C03">
        <w:t xml:space="preserve"> to grow by an average of 405 r</w:t>
      </w:r>
      <w:r w:rsidR="00D42E85">
        <w:t>esidents per decade through 2040</w:t>
      </w:r>
      <w:r w:rsidR="0040486A" w:rsidRPr="005F6C03">
        <w:t>.</w:t>
      </w:r>
      <w:r w:rsidR="0040486A" w:rsidRPr="009A788D">
        <w:rPr>
          <w:i/>
          <w:color w:val="FF0000"/>
        </w:rPr>
        <w:t xml:space="preserve"> </w:t>
      </w:r>
      <w:r w:rsidR="0040486A" w:rsidRPr="005F6C03">
        <w:t>Between 2010 and 20</w:t>
      </w:r>
      <w:r w:rsidR="002575EA" w:rsidRPr="005F6C03">
        <w:t xml:space="preserve">35 (last year of </w:t>
      </w:r>
      <w:r w:rsidR="0056027A">
        <w:t xml:space="preserve">projected </w:t>
      </w:r>
      <w:r w:rsidR="002575EA" w:rsidRPr="005F6C03">
        <w:t>population growth)</w:t>
      </w:r>
      <w:r w:rsidR="0040486A" w:rsidRPr="005F6C03">
        <w:t xml:space="preserve">, this will result in an overall population growth of 14%, nearly twice the projected rate for the </w:t>
      </w:r>
      <w:r w:rsidR="00D56819">
        <w:t>S</w:t>
      </w:r>
      <w:r w:rsidR="0040486A" w:rsidRPr="005F6C03">
        <w:t xml:space="preserve">tate of New Hampshire. </w:t>
      </w:r>
      <w:r w:rsidR="005F6C03">
        <w:t>Population growth typically results in a natural increase in demand for housing supply. SRPC conducts basic housing unit projections that estimate future demands for total, vacant, renter-occupied, and owner-occupied housing units.</w:t>
      </w:r>
    </w:p>
    <w:p w:rsidR="005F6C03" w:rsidRDefault="005F6C03" w:rsidP="005F6C03">
      <w:pPr>
        <w:widowControl w:val="0"/>
        <w:tabs>
          <w:tab w:val="left" w:pos="709"/>
        </w:tabs>
        <w:suppressAutoHyphens/>
        <w:spacing w:after="0"/>
        <w:ind w:left="-720" w:right="-720"/>
        <w:rPr>
          <w:noProof/>
          <w:color w:val="FF0000"/>
          <w:sz w:val="18"/>
          <w:szCs w:val="18"/>
        </w:rPr>
      </w:pPr>
    </w:p>
    <w:p w:rsidR="002C7971" w:rsidRDefault="002C7971" w:rsidP="005F6C03">
      <w:pPr>
        <w:widowControl w:val="0"/>
        <w:tabs>
          <w:tab w:val="left" w:pos="709"/>
        </w:tabs>
        <w:suppressAutoHyphens/>
        <w:spacing w:after="0"/>
        <w:ind w:left="-720" w:right="-720"/>
      </w:pPr>
      <w:r w:rsidRPr="00AE0806">
        <w:t xml:space="preserve">As of the 2010 Census, </w:t>
      </w:r>
      <w:r w:rsidR="0040486A" w:rsidRPr="00AE0806">
        <w:t>Newmarket</w:t>
      </w:r>
      <w:r w:rsidRPr="00AE0806">
        <w:t xml:space="preserve">’s average household size for all units was </w:t>
      </w:r>
      <w:r w:rsidR="0040486A" w:rsidRPr="00AE0806">
        <w:t>2.16</w:t>
      </w:r>
      <w:r w:rsidR="00B55024" w:rsidRPr="00AE0806">
        <w:t xml:space="preserve"> person</w:t>
      </w:r>
      <w:r w:rsidR="00AE0806">
        <w:t>s</w:t>
      </w:r>
      <w:r w:rsidRPr="00AE0806">
        <w:t>. Assuming that this household size remains constant out to 20</w:t>
      </w:r>
      <w:r w:rsidR="005F6C03" w:rsidRPr="00AE0806">
        <w:t>35</w:t>
      </w:r>
      <w:r w:rsidR="00B55024" w:rsidRPr="00AE0806">
        <w:t xml:space="preserve"> (the maximum projected demand year)</w:t>
      </w:r>
      <w:r w:rsidRPr="00AE0806">
        <w:t xml:space="preserve">, and the population grows by the projected </w:t>
      </w:r>
      <w:r w:rsidR="0040486A" w:rsidRPr="00AE0806">
        <w:t>1</w:t>
      </w:r>
      <w:r w:rsidRPr="00AE0806">
        <w:t>,</w:t>
      </w:r>
      <w:r w:rsidR="0040486A" w:rsidRPr="00AE0806">
        <w:t>214</w:t>
      </w:r>
      <w:r w:rsidRPr="00AE0806">
        <w:t xml:space="preserve"> individuals, SRPC estimates that </w:t>
      </w:r>
      <w:r w:rsidR="0040486A" w:rsidRPr="00AE0806">
        <w:t>Newmarket</w:t>
      </w:r>
      <w:r w:rsidRPr="00AE0806">
        <w:t xml:space="preserve"> will need approximately </w:t>
      </w:r>
      <w:r w:rsidR="0040486A" w:rsidRPr="00AE0806">
        <w:t>562</w:t>
      </w:r>
      <w:r w:rsidRPr="00AE0806">
        <w:t xml:space="preserve"> new housing units over </w:t>
      </w:r>
      <w:r w:rsidR="005F6C03" w:rsidRPr="00AE0806">
        <w:t>25 years between 2010 and 2035</w:t>
      </w:r>
      <w:r w:rsidRPr="00AE0806">
        <w:t xml:space="preserve">.  SRPC projects that this </w:t>
      </w:r>
      <w:r w:rsidR="00B55024" w:rsidRPr="00AE0806">
        <w:t>will necessitate the creation (through new construction, redevelopment, or renovation) of</w:t>
      </w:r>
      <w:r w:rsidRPr="00AE0806">
        <w:t xml:space="preserve"> </w:t>
      </w:r>
      <w:r w:rsidR="002575EA" w:rsidRPr="00AE0806">
        <w:t>285</w:t>
      </w:r>
      <w:r w:rsidRPr="00AE0806">
        <w:t xml:space="preserve"> new owner-occupied housing units and </w:t>
      </w:r>
      <w:r w:rsidR="002575EA" w:rsidRPr="00AE0806">
        <w:t>239</w:t>
      </w:r>
      <w:r w:rsidRPr="00AE0806">
        <w:t xml:space="preserve"> new renter-occupied units (assuming</w:t>
      </w:r>
      <w:r w:rsidR="0040486A" w:rsidRPr="00AE0806">
        <w:t xml:space="preserve"> the current 6.81</w:t>
      </w:r>
      <w:r w:rsidRPr="00AE0806">
        <w:t xml:space="preserve">% vacancy rate). </w:t>
      </w:r>
      <w:r w:rsidR="00B55024" w:rsidRPr="00AE0806">
        <w:t xml:space="preserve">As with any projection, </w:t>
      </w:r>
      <w:r w:rsidRPr="00AE0806">
        <w:t xml:space="preserve">consideration of this estimate </w:t>
      </w:r>
      <w:proofErr w:type="gramStart"/>
      <w:r w:rsidR="00B55024" w:rsidRPr="00AE0806">
        <w:t>should be done</w:t>
      </w:r>
      <w:proofErr w:type="gramEnd"/>
      <w:r w:rsidR="00B55024" w:rsidRPr="00AE0806">
        <w:t xml:space="preserve"> carefully </w:t>
      </w:r>
      <w:r w:rsidRPr="00AE0806">
        <w:t>as not all population growth is likely to be new residents.</w:t>
      </w:r>
    </w:p>
    <w:p w:rsidR="0056027A" w:rsidRDefault="00B72770" w:rsidP="005F6C03">
      <w:pPr>
        <w:widowControl w:val="0"/>
        <w:tabs>
          <w:tab w:val="left" w:pos="709"/>
        </w:tabs>
        <w:suppressAutoHyphens/>
        <w:spacing w:after="0"/>
        <w:ind w:left="-720" w:right="-720"/>
      </w:pPr>
      <w:r>
        <w:rPr>
          <w:noProof/>
        </w:rPr>
        <w:drawing>
          <wp:anchor distT="0" distB="0" distL="114300" distR="114300" simplePos="0" relativeHeight="251700224" behindDoc="0" locked="0" layoutInCell="1" allowOverlap="1" wp14:anchorId="4F187908" wp14:editId="78E7FA53">
            <wp:simplePos x="0" y="0"/>
            <wp:positionH relativeFrom="column">
              <wp:posOffset>-309245</wp:posOffset>
            </wp:positionH>
            <wp:positionV relativeFrom="paragraph">
              <wp:posOffset>187325</wp:posOffset>
            </wp:positionV>
            <wp:extent cx="6483350" cy="4203700"/>
            <wp:effectExtent l="0" t="0" r="0" b="0"/>
            <wp:wrapSquare wrapText="bothSides"/>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B72770" w:rsidRDefault="00B72770" w:rsidP="00303934">
      <w:pPr>
        <w:widowControl w:val="0"/>
        <w:tabs>
          <w:tab w:val="left" w:pos="709"/>
        </w:tabs>
        <w:suppressAutoHyphens/>
        <w:spacing w:after="0"/>
        <w:ind w:left="-720" w:right="-720"/>
        <w:rPr>
          <w:i/>
        </w:rPr>
      </w:pPr>
    </w:p>
    <w:p w:rsidR="001F49B9" w:rsidRDefault="0056027A" w:rsidP="00303934">
      <w:pPr>
        <w:widowControl w:val="0"/>
        <w:tabs>
          <w:tab w:val="left" w:pos="709"/>
        </w:tabs>
        <w:suppressAutoHyphens/>
        <w:spacing w:after="0"/>
        <w:ind w:left="-720" w:right="-720"/>
        <w:rPr>
          <w:i/>
        </w:rPr>
      </w:pPr>
      <w:r w:rsidRPr="00E27241">
        <w:rPr>
          <w:i/>
        </w:rPr>
        <w:t>*Note: Building permit data from the New Hampshire Office of Energy and Planning</w:t>
      </w:r>
      <w:r w:rsidR="00E27241" w:rsidRPr="00E27241">
        <w:rPr>
          <w:i/>
        </w:rPr>
        <w:t xml:space="preserve"> (NHOEP)</w:t>
      </w:r>
      <w:r w:rsidRPr="00E27241">
        <w:rPr>
          <w:i/>
        </w:rPr>
        <w:t xml:space="preserve"> from 2010-2013 illustrate a </w:t>
      </w:r>
      <w:r w:rsidR="00E27241" w:rsidRPr="00E27241">
        <w:rPr>
          <w:i/>
        </w:rPr>
        <w:t xml:space="preserve">total </w:t>
      </w:r>
      <w:r w:rsidRPr="00E27241">
        <w:rPr>
          <w:i/>
        </w:rPr>
        <w:t xml:space="preserve">growth of 130 units. </w:t>
      </w:r>
      <w:r w:rsidR="00E27241" w:rsidRPr="00E27241">
        <w:rPr>
          <w:i/>
        </w:rPr>
        <w:t>Alt</w:t>
      </w:r>
      <w:r w:rsidRPr="00E27241">
        <w:rPr>
          <w:i/>
        </w:rPr>
        <w:t xml:space="preserve">hough </w:t>
      </w:r>
      <w:r w:rsidR="00E27241" w:rsidRPr="00E27241">
        <w:rPr>
          <w:i/>
        </w:rPr>
        <w:t>NHOEP data</w:t>
      </w:r>
      <w:r w:rsidRPr="00E27241">
        <w:rPr>
          <w:i/>
        </w:rPr>
        <w:t xml:space="preserve"> do not include year 2014, </w:t>
      </w:r>
      <w:r w:rsidR="00E27241" w:rsidRPr="00E27241">
        <w:rPr>
          <w:i/>
        </w:rPr>
        <w:t xml:space="preserve">the real growth of 130 units parallels SRPC projections that indicate a growth of 149 units </w:t>
      </w:r>
      <w:r w:rsidR="004C106F">
        <w:rPr>
          <w:i/>
        </w:rPr>
        <w:t>in the years between 2010 and 2015</w:t>
      </w:r>
      <w:r w:rsidR="00E27241" w:rsidRPr="00E27241">
        <w:rPr>
          <w:i/>
        </w:rPr>
        <w:t>.</w:t>
      </w:r>
    </w:p>
    <w:p w:rsidR="001F49B9" w:rsidRDefault="00F97700" w:rsidP="001F49B9">
      <w:pPr>
        <w:widowControl w:val="0"/>
        <w:tabs>
          <w:tab w:val="left" w:pos="709"/>
        </w:tabs>
        <w:suppressAutoHyphens/>
        <w:spacing w:after="0"/>
        <w:ind w:left="-990" w:right="-720"/>
        <w:jc w:val="right"/>
        <w:rPr>
          <w:noProof/>
          <w:sz w:val="18"/>
          <w:szCs w:val="18"/>
        </w:rPr>
      </w:pPr>
      <w:r>
        <w:rPr>
          <w:noProof/>
        </w:rPr>
        <w:lastRenderedPageBreak/>
        <mc:AlternateContent>
          <mc:Choice Requires="wps">
            <w:drawing>
              <wp:anchor distT="0" distB="0" distL="114300" distR="114300" simplePos="0" relativeHeight="251723776" behindDoc="0" locked="0" layoutInCell="1" allowOverlap="1" wp14:anchorId="6521257B" wp14:editId="43A7C25D">
                <wp:simplePos x="0" y="0"/>
                <wp:positionH relativeFrom="column">
                  <wp:posOffset>3294380</wp:posOffset>
                </wp:positionH>
                <wp:positionV relativeFrom="paragraph">
                  <wp:posOffset>3641594</wp:posOffset>
                </wp:positionV>
                <wp:extent cx="2964355" cy="22034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355" cy="220345"/>
                        </a:xfrm>
                        <a:prstGeom prst="rect">
                          <a:avLst/>
                        </a:prstGeom>
                        <a:noFill/>
                        <a:ln w="9525">
                          <a:noFill/>
                          <a:miter lim="800000"/>
                          <a:headEnd/>
                          <a:tailEnd/>
                        </a:ln>
                      </wps:spPr>
                      <wps:txbx>
                        <w:txbxContent>
                          <w:p w:rsidR="009A5582" w:rsidRPr="00F04A9F" w:rsidRDefault="009A5582" w:rsidP="00F97700">
                            <w:pPr>
                              <w:rPr>
                                <w:sz w:val="16"/>
                                <w:szCs w:val="16"/>
                              </w:rPr>
                            </w:pPr>
                            <w:r>
                              <w:rPr>
                                <w:sz w:val="16"/>
                                <w:szCs w:val="16"/>
                              </w:rPr>
                              <w:t>Newmarket Mills</w:t>
                            </w:r>
                            <w:r>
                              <w:rPr>
                                <w:sz w:val="16"/>
                                <w:szCs w:val="16"/>
                              </w:rPr>
                              <w:tab/>
                              <w:t xml:space="preserve">Source: Eric </w:t>
                            </w:r>
                            <w:proofErr w:type="spellStart"/>
                            <w:r>
                              <w:rPr>
                                <w:sz w:val="16"/>
                                <w:szCs w:val="16"/>
                              </w:rPr>
                              <w:t>Gendron</w:t>
                            </w:r>
                            <w:proofErr w:type="spellEnd"/>
                            <w:r>
                              <w:rPr>
                                <w:sz w:val="16"/>
                                <w:szCs w:val="16"/>
                              </w:rPr>
                              <w:t xml:space="preserve"> Photography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9.4pt;margin-top:286.75pt;width:233.4pt;height:17.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FuEAIAAPsDAAAOAAAAZHJzL2Uyb0RvYy54bWysU21v2yAQ/j5p/wHxfbHjxG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" filled="f" stroked="f">
                <v:textbox>
                  <w:txbxContent>
                    <w:p w:rsidR="009A5582" w:rsidRPr="00F04A9F" w:rsidRDefault="009A5582" w:rsidP="00F97700">
                      <w:pPr>
                        <w:rPr>
                          <w:sz w:val="16"/>
                          <w:szCs w:val="16"/>
                        </w:rPr>
                      </w:pPr>
                      <w:r>
                        <w:rPr>
                          <w:sz w:val="16"/>
                          <w:szCs w:val="16"/>
                        </w:rPr>
                        <w:t>Newmarket Mills</w:t>
                      </w:r>
                      <w:r>
                        <w:rPr>
                          <w:sz w:val="16"/>
                          <w:szCs w:val="16"/>
                        </w:rPr>
                        <w:tab/>
                        <w:t xml:space="preserve">Source: Eric </w:t>
                      </w:r>
                      <w:proofErr w:type="spellStart"/>
                      <w:r>
                        <w:rPr>
                          <w:sz w:val="16"/>
                          <w:szCs w:val="16"/>
                        </w:rPr>
                        <w:t>Gendron</w:t>
                      </w:r>
                      <w:proofErr w:type="spellEnd"/>
                      <w:r>
                        <w:rPr>
                          <w:sz w:val="16"/>
                          <w:szCs w:val="16"/>
                        </w:rPr>
                        <w:t xml:space="preserve"> Photography</w:t>
                      </w:r>
                    </w:p>
                  </w:txbxContent>
                </v:textbox>
              </v:shape>
            </w:pict>
          </mc:Fallback>
        </mc:AlternateContent>
      </w:r>
      <w:r w:rsidR="001F49B9">
        <w:rPr>
          <w:noProof/>
        </w:rPr>
        <w:drawing>
          <wp:anchor distT="0" distB="0" distL="114300" distR="114300" simplePos="0" relativeHeight="251708416" behindDoc="0" locked="0" layoutInCell="1" allowOverlap="1" wp14:anchorId="56CAE059" wp14:editId="400D9BDC">
            <wp:simplePos x="0" y="0"/>
            <wp:positionH relativeFrom="column">
              <wp:posOffset>-340360</wp:posOffset>
            </wp:positionH>
            <wp:positionV relativeFrom="paragraph">
              <wp:posOffset>-254635</wp:posOffset>
            </wp:positionV>
            <wp:extent cx="6609715" cy="3976370"/>
            <wp:effectExtent l="0" t="0" r="635" b="5080"/>
            <wp:wrapSquare wrapText="bothSides"/>
            <wp:docPr id="24" name="Picture 24" descr="https://c1.staticflickr.com/9/8471/8120965739_c1e85df76e_b.jpg"/>
            <wp:cNvGraphicFramePr/>
            <a:graphic xmlns:a="http://schemas.openxmlformats.org/drawingml/2006/main">
              <a:graphicData uri="http://schemas.openxmlformats.org/drawingml/2006/picture">
                <pic:pic xmlns:pic="http://schemas.openxmlformats.org/drawingml/2006/picture">
                  <pic:nvPicPr>
                    <pic:cNvPr id="8" name="Picture 8" descr="https://c1.staticflickr.com/9/8471/8120965739_c1e85df76e_b.jpg"/>
                    <pic:cNvPicPr/>
                  </pic:nvPicPr>
                  <pic:blipFill rotWithShape="1">
                    <a:blip r:embed="rId46">
                      <a:extLst>
                        <a:ext uri="{28A0092B-C50C-407E-A947-70E740481C1C}">
                          <a14:useLocalDpi xmlns:a14="http://schemas.microsoft.com/office/drawing/2010/main" val="0"/>
                        </a:ext>
                      </a:extLst>
                    </a:blip>
                    <a:srcRect b="9843"/>
                    <a:stretch/>
                  </pic:blipFill>
                  <pic:spPr bwMode="auto">
                    <a:xfrm>
                      <a:off x="0" y="0"/>
                      <a:ext cx="6609715" cy="3976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49B9" w:rsidRDefault="001F49B9" w:rsidP="001F49B9">
      <w:pPr>
        <w:pStyle w:val="Heading1"/>
        <w:spacing w:before="0"/>
        <w:ind w:left="-720" w:right="-720"/>
      </w:pPr>
      <w:bookmarkStart w:id="35" w:name="_Toc427316520"/>
      <w:r>
        <w:t>Housing Trends</w:t>
      </w:r>
      <w:bookmarkEnd w:id="35"/>
    </w:p>
    <w:p w:rsidR="001F49B9" w:rsidRDefault="001F49B9" w:rsidP="001F49B9">
      <w:pPr>
        <w:keepNext/>
        <w:keepLines/>
        <w:spacing w:before="200" w:after="120"/>
        <w:ind w:left="-720" w:right="-720"/>
        <w:outlineLvl w:val="2"/>
      </w:pPr>
      <w:r>
        <w:t xml:space="preserve">The Housing Trends component of the Newmarket Housing and Demographics Master Plan chapter is a discussion of observed and anticipated trends in housing development in Newmarket, the SRPC region, and State of New Hampshire. These trends </w:t>
      </w:r>
      <w:proofErr w:type="gramStart"/>
      <w:r>
        <w:t>include:</w:t>
      </w:r>
      <w:proofErr w:type="gramEnd"/>
      <w:r>
        <w:t xml:space="preserve"> Newmarket downtown redevelopment efforts, senior housing preferences, UNH student housing trends, and single family housing development.</w:t>
      </w:r>
    </w:p>
    <w:p w:rsidR="001F49B9" w:rsidRDefault="001F49B9" w:rsidP="001F49B9">
      <w:pPr>
        <w:pStyle w:val="Heading2"/>
        <w:rPr>
          <w:sz w:val="28"/>
          <w:szCs w:val="28"/>
        </w:rPr>
      </w:pPr>
      <w:bookmarkStart w:id="36" w:name="_Toc427316521"/>
      <w:r>
        <w:t>Downtown Redevelopment Efforts and Resilience Planning</w:t>
      </w:r>
      <w:bookmarkEnd w:id="36"/>
    </w:p>
    <w:p w:rsidR="001F49B9" w:rsidRDefault="001F49B9" w:rsidP="001F49B9">
      <w:pPr>
        <w:ind w:left="-720" w:right="-720"/>
      </w:pPr>
      <w:r>
        <w:t>Beginning in 2001, Newmarket began to experience significant redevelopment (particularly of the Newmarket Mills) in its downtown area, sparked by investment in a Tax Increment Finance (TIF) district. The Newmarket Mills development</w:t>
      </w:r>
      <w:r w:rsidR="005F1E4D">
        <w:t>,</w:t>
      </w:r>
      <w:r>
        <w:t xml:space="preserve"> in particular, represents an attractive and affordable rental opportunity for a mix of demographics ranging from single young professionals to retirees. Developments in this area are particularly attractive to multiple age groups because of their excellent access to downtown services and amenities, as well as their scenic location along one of the region’s most valued natural resources, the Lamprey River (which runs through the heart of the community).</w:t>
      </w:r>
    </w:p>
    <w:p w:rsidR="001F49B9" w:rsidRDefault="001F49B9" w:rsidP="001F49B9">
      <w:pPr>
        <w:ind w:left="-720" w:right="-720"/>
      </w:pPr>
      <w:r>
        <w:t xml:space="preserve">Unfortunately, several recent </w:t>
      </w:r>
      <w:r w:rsidR="005F1E4D">
        <w:t>d</w:t>
      </w:r>
      <w:r>
        <w:t xml:space="preserve">owntown redevelopment and development projects are at risk of flood inundation </w:t>
      </w:r>
      <w:proofErr w:type="gramStart"/>
      <w:r>
        <w:t>as a result</w:t>
      </w:r>
      <w:proofErr w:type="gramEnd"/>
      <w:r>
        <w:t xml:space="preserve"> of severe storm events and even seasonal flooding following heavy precipitation. The Newmarket Mills and Bryant Rock properties represent high-risk properties because of their proximity to the Lamprey River. The Town of Newmarket will need to continue </w:t>
      </w:r>
      <w:proofErr w:type="gramStart"/>
      <w:r>
        <w:t>to closely monitor</w:t>
      </w:r>
      <w:proofErr w:type="gramEnd"/>
      <w:r>
        <w:t xml:space="preserve"> floodplain changes and changes to coastal flooding projections when considering </w:t>
      </w:r>
      <w:r w:rsidR="005F1E4D">
        <w:t xml:space="preserve">future </w:t>
      </w:r>
      <w:r>
        <w:t xml:space="preserve">areas for development in the core of the downtown along the Lamprey River. </w:t>
      </w:r>
    </w:p>
    <w:p w:rsidR="001F49B9" w:rsidRDefault="001F49B9" w:rsidP="001F49B9">
      <w:pPr>
        <w:pStyle w:val="Heading2"/>
        <w:ind w:right="0"/>
        <w:rPr>
          <w:sz w:val="28"/>
          <w:szCs w:val="28"/>
        </w:rPr>
      </w:pPr>
      <w:bookmarkStart w:id="37" w:name="_Toc427316522"/>
      <w:r>
        <w:lastRenderedPageBreak/>
        <w:t>Age-Based Housing Trends</w:t>
      </w:r>
      <w:bookmarkEnd w:id="37"/>
    </w:p>
    <w:p w:rsidR="001F49B9" w:rsidRDefault="001F49B9" w:rsidP="001F49B9">
      <w:pPr>
        <w:ind w:left="-720"/>
      </w:pPr>
      <w:r>
        <w:t xml:space="preserve">Newmarket, the State of New Hampshire, and much of New England are experiencing a shift in population demographics. This change is driving a shift in housing preferences among both older and younger generations, which may result in a misalignment between housing supply and demand in the coming decades. Between 1960 and 2010, New Hampshire’s housing market </w:t>
      </w:r>
      <w:proofErr w:type="gramStart"/>
      <w:r>
        <w:t>was largely controlled</w:t>
      </w:r>
      <w:proofErr w:type="gramEnd"/>
      <w:r>
        <w:t xml:space="preserve"> by the high rate of in-migration of Baby Boom-age individuals to the state. Now, population projections indicate slowing growth and rapidly aging demographics, a trend that communities must plan and prepare for. This chapter acknowledges that the following trends are emerging</w:t>
      </w:r>
      <w:r w:rsidR="005F1E4D">
        <w:t>.</w:t>
      </w:r>
      <w:r>
        <w:t xml:space="preserve"> </w:t>
      </w:r>
    </w:p>
    <w:p w:rsidR="001F49B9" w:rsidRPr="00E25092" w:rsidRDefault="001F49B9" w:rsidP="00E25092">
      <w:pPr>
        <w:pStyle w:val="Heading3"/>
        <w:ind w:left="-720"/>
      </w:pPr>
      <w:r w:rsidRPr="00E25092">
        <w:t>Home ow</w:t>
      </w:r>
      <w:r w:rsidRPr="00E25092">
        <w:rPr>
          <w:rStyle w:val="Heading3Char"/>
          <w:b/>
          <w:bCs/>
        </w:rPr>
        <w:t>nershi</w:t>
      </w:r>
      <w:r w:rsidRPr="00E25092">
        <w:t xml:space="preserve">p is declining. </w:t>
      </w:r>
    </w:p>
    <w:p w:rsidR="001F49B9" w:rsidRDefault="001F49B9" w:rsidP="001F49B9">
      <w:pPr>
        <w:ind w:left="-720"/>
        <w:contextualSpacing/>
      </w:pPr>
      <w:r>
        <w:t>Declining in-migration, a slow-recovering housing market, and difficulty in securing financing have each contributed to a declining attractiveness of owning a home. In particular, seniors are experiencing liquidity challenges as they attempt to downsize and relocate. At the same time, student-debt burden and wage quality make home ownership by younger people problematic.</w:t>
      </w:r>
    </w:p>
    <w:p w:rsidR="001F49B9" w:rsidRDefault="001F49B9" w:rsidP="001F49B9">
      <w:pPr>
        <w:pStyle w:val="Heading3"/>
        <w:ind w:left="-720"/>
        <w:rPr>
          <w:rFonts w:eastAsiaTheme="minorHAnsi"/>
          <w:sz w:val="24"/>
          <w:szCs w:val="24"/>
        </w:rPr>
      </w:pPr>
      <w:r>
        <w:rPr>
          <w:rFonts w:eastAsiaTheme="minorHAnsi"/>
        </w:rPr>
        <w:t xml:space="preserve">Housing Preferences are evolving. </w:t>
      </w:r>
    </w:p>
    <w:p w:rsidR="001F49B9" w:rsidRDefault="001F49B9" w:rsidP="001F49B9">
      <w:pPr>
        <w:ind w:left="-720"/>
        <w:contextualSpacing/>
      </w:pPr>
      <w:r>
        <w:t xml:space="preserve">Housing preferences of young people have shifted from ownership towards more flexible housing arrangements such as renting. Older populations, with average household sizes of approximately 1.5 persons, are </w:t>
      </w:r>
      <w:proofErr w:type="gramStart"/>
      <w:r>
        <w:t>down-sizing</w:t>
      </w:r>
      <w:proofErr w:type="gramEnd"/>
      <w:r>
        <w:t xml:space="preserve"> from large 3+ bedroom homes to 1 and 2 bedroom units closer to community centers. </w:t>
      </w:r>
      <w:proofErr w:type="gramStart"/>
      <w:r>
        <w:t>Together, these shifts significantly reduce the demand for larger, more rural homes and are creating a supply shortage for smaller, more flexible spaces.</w:t>
      </w:r>
      <w:proofErr w:type="gramEnd"/>
    </w:p>
    <w:p w:rsidR="001F49B9" w:rsidRDefault="001F49B9" w:rsidP="001F49B9">
      <w:pPr>
        <w:pStyle w:val="Heading3"/>
        <w:ind w:left="-720"/>
        <w:rPr>
          <w:rFonts w:eastAsiaTheme="minorHAnsi"/>
          <w:sz w:val="24"/>
          <w:szCs w:val="24"/>
        </w:rPr>
      </w:pPr>
      <w:r>
        <w:rPr>
          <w:rFonts w:eastAsiaTheme="minorHAnsi"/>
        </w:rPr>
        <w:t xml:space="preserve">Existing housing stock is not flexible. </w:t>
      </w:r>
    </w:p>
    <w:p w:rsidR="001F49B9" w:rsidRDefault="001F49B9" w:rsidP="001F49B9">
      <w:pPr>
        <w:ind w:left="-720"/>
        <w:contextualSpacing/>
        <w:rPr>
          <w:color w:val="FF0000"/>
        </w:rPr>
      </w:pPr>
      <w:r>
        <w:t xml:space="preserve">It </w:t>
      </w:r>
      <w:proofErr w:type="gramStart"/>
      <w:r>
        <w:t>is expected</w:t>
      </w:r>
      <w:proofErr w:type="gramEnd"/>
      <w:r>
        <w:t xml:space="preserve"> that construction rates will decline with slowing population growth in New Hampshire’s communities. Competition among older and younger generations for single-family homes and rental units in or adjacent to community center areas will create excessive demand on a limited supply of housing in these areas. One solution is the repurposing of existing living space using the principles of universal design (detailed later in this chapter). This means that communities must take proactive steps to ensure that local ordinances and regulations allow for innovative repurposing, rehabilitation, and expansion of spaces.</w:t>
      </w:r>
      <w:r>
        <w:rPr>
          <w:color w:val="FF0000"/>
        </w:rPr>
        <w:t xml:space="preserve"> </w:t>
      </w:r>
    </w:p>
    <w:p w:rsidR="001F49B9" w:rsidRDefault="001F49B9" w:rsidP="001F49B9">
      <w:pPr>
        <w:pStyle w:val="Heading3"/>
        <w:ind w:left="-720"/>
        <w:rPr>
          <w:rFonts w:eastAsiaTheme="minorHAnsi"/>
          <w:color w:val="auto"/>
          <w:sz w:val="24"/>
          <w:szCs w:val="24"/>
        </w:rPr>
      </w:pPr>
      <w:r>
        <w:rPr>
          <w:rFonts w:eastAsiaTheme="minorHAnsi"/>
        </w:rPr>
        <w:t xml:space="preserve">Senior housing is a concern. </w:t>
      </w:r>
    </w:p>
    <w:p w:rsidR="001F49B9" w:rsidRDefault="001F49B9" w:rsidP="001F49B9">
      <w:pPr>
        <w:ind w:left="-720"/>
        <w:contextualSpacing/>
      </w:pPr>
      <w:r>
        <w:t xml:space="preserve">The aging of the Baby Boom generation </w:t>
      </w:r>
      <w:proofErr w:type="gramStart"/>
      <w:r>
        <w:t>is expected</w:t>
      </w:r>
      <w:proofErr w:type="gramEnd"/>
      <w:r>
        <w:t xml:space="preserve"> to result in the doubling of New Hampshire’s senior population by 2030. In parallel, housing unit occupancy by seniors will double, requiring consideration of how to design and retrofit housing for seniors with and without disabilities. Though a high percentage of seniors are interested in ‘aging in place’, this choice could become strained by increasing taxes and real estate costs, increased prevalence of disability combined with a decrease in the ‘caregiver’ population, and a decrease in median household income. Statewide figures estimate that median incomes for seniors are just over half that of all households.</w:t>
      </w:r>
    </w:p>
    <w:p w:rsidR="001F49B9" w:rsidRDefault="001F49B9" w:rsidP="001F49B9">
      <w:pPr>
        <w:rPr>
          <w:i/>
          <w:sz w:val="24"/>
          <w:szCs w:val="24"/>
        </w:rPr>
      </w:pPr>
      <w:r>
        <w:br w:type="page"/>
      </w:r>
    </w:p>
    <w:p w:rsidR="001F49B9" w:rsidRDefault="001F49B9" w:rsidP="001F49B9">
      <w:pPr>
        <w:pStyle w:val="Heading3"/>
        <w:ind w:left="-720"/>
        <w:rPr>
          <w:rFonts w:eastAsiaTheme="minorHAnsi"/>
          <w:i/>
          <w:sz w:val="24"/>
          <w:szCs w:val="24"/>
        </w:rPr>
      </w:pPr>
      <w:proofErr w:type="gramStart"/>
      <w:r>
        <w:rPr>
          <w:rFonts w:eastAsiaTheme="minorHAnsi"/>
        </w:rPr>
        <w:lastRenderedPageBreak/>
        <w:t>Seniors choosing to ‘age in place’.</w:t>
      </w:r>
      <w:proofErr w:type="gramEnd"/>
      <w:r>
        <w:rPr>
          <w:rFonts w:eastAsiaTheme="minorHAnsi"/>
        </w:rPr>
        <w:t xml:space="preserve"> </w:t>
      </w:r>
    </w:p>
    <w:p w:rsidR="001F49B9" w:rsidRDefault="001F49B9" w:rsidP="001F49B9">
      <w:pPr>
        <w:ind w:left="-720"/>
        <w:contextualSpacing/>
      </w:pPr>
      <w:r>
        <w:t xml:space="preserve">Despite anecdotal evidence suggesting </w:t>
      </w:r>
      <w:proofErr w:type="gramStart"/>
      <w:r>
        <w:t>that</w:t>
      </w:r>
      <w:proofErr w:type="gramEnd"/>
      <w:r>
        <w:t xml:space="preserve"> seniors migrate to southern, warmer climates, only 3% of New Hampshire’s seniors move annually. A 2010 AARP survey of the 45 and older population indicated that 86% of respondents would “like to stay in their current residence as long as possible”.  However, the ability of seniors to remain in their community </w:t>
      </w:r>
      <w:proofErr w:type="gramStart"/>
      <w:r>
        <w:t>is directly related</w:t>
      </w:r>
      <w:proofErr w:type="gramEnd"/>
      <w:r>
        <w:t xml:space="preserve"> to factors such as income, healthcare, housing stock, and housing cost burden. Nearly 45% of the </w:t>
      </w:r>
      <w:r w:rsidR="005F1E4D">
        <w:t>s</w:t>
      </w:r>
      <w:r>
        <w:t xml:space="preserve">tate’s senior population classify themselves as having one disability. </w:t>
      </w:r>
      <w:proofErr w:type="gramStart"/>
      <w:r>
        <w:t>Of those, 18% report that their disability makes independent living challenging.</w:t>
      </w:r>
      <w:proofErr w:type="gramEnd"/>
      <w:r>
        <w:t xml:space="preserve"> Historically, social agencies have played a key role in ensuring that seniors are able to remain independent, though predicted funding shortages could lead to widespread cuts in these services.  As indicated above, although seniors often have more assets, they tend to make one-half of the state’s median income, and they pay more than 30% of that income towards housing costs. More than 75% of the state’s senior population lives in suburban or rural areas; these areas typically lack access to key services and amenities such as healthcare and food. As a result, </w:t>
      </w:r>
      <w:proofErr w:type="gramStart"/>
      <w:r>
        <w:t>down-sizing</w:t>
      </w:r>
      <w:proofErr w:type="gramEnd"/>
      <w:r>
        <w:t xml:space="preserve"> seniors are searching for housing in locations with close proximity to these vital services. Unfortunately, much of the existing community-center housing stock is older and not ‘senior-friendly’. </w:t>
      </w:r>
    </w:p>
    <w:p w:rsidR="001F49B9" w:rsidRDefault="00864BBE" w:rsidP="001F49B9">
      <w:pPr>
        <w:pStyle w:val="Heading3"/>
        <w:ind w:left="-720"/>
        <w:rPr>
          <w:rFonts w:eastAsiaTheme="minorHAnsi"/>
          <w:sz w:val="24"/>
          <w:szCs w:val="24"/>
        </w:rPr>
      </w:pPr>
      <w:r>
        <w:rPr>
          <w:rFonts w:eastAsiaTheme="minorHAnsi"/>
        </w:rPr>
        <w:t xml:space="preserve">Statewide </w:t>
      </w:r>
      <w:r w:rsidR="001E25DD">
        <w:rPr>
          <w:rFonts w:eastAsiaTheme="minorHAnsi"/>
        </w:rPr>
        <w:t xml:space="preserve">assisted </w:t>
      </w:r>
      <w:r w:rsidR="001F49B9">
        <w:rPr>
          <w:rFonts w:eastAsiaTheme="minorHAnsi"/>
        </w:rPr>
        <w:t xml:space="preserve">living demand will rise. </w:t>
      </w:r>
    </w:p>
    <w:p w:rsidR="005F1E4D" w:rsidRDefault="001F49B9" w:rsidP="005F1E4D">
      <w:pPr>
        <w:spacing w:after="360"/>
        <w:ind w:left="-720"/>
      </w:pPr>
      <w:r>
        <w:t>NHHFA’s Senior Housing Perspectives report estimates demand for nursing home beds will increase</w:t>
      </w:r>
      <w:r w:rsidR="001E25DD">
        <w:t xml:space="preserve"> in New Hampshire</w:t>
      </w:r>
      <w:r>
        <w:t xml:space="preserve"> by more than 50% by 2025 (state nursing homes are currently at 100% capacity). In parallel, </w:t>
      </w:r>
      <w:r w:rsidR="001E25DD">
        <w:t xml:space="preserve">New Hampshire’s total </w:t>
      </w:r>
      <w:r>
        <w:t xml:space="preserve">demand for assisted living units is expected to grow from 4,400 to 7,400 in the next </w:t>
      </w:r>
      <w:proofErr w:type="gramStart"/>
      <w:r w:rsidR="005F1E4D">
        <w:t>15 year</w:t>
      </w:r>
      <w:proofErr w:type="gramEnd"/>
      <w:r w:rsidR="005F1E4D">
        <w:t xml:space="preserve"> period, a 68% increase.</w:t>
      </w:r>
    </w:p>
    <w:p w:rsidR="001F49B9" w:rsidRDefault="001F49B9" w:rsidP="005F1E4D">
      <w:pPr>
        <w:pStyle w:val="Heading2"/>
        <w:spacing w:before="0" w:after="240"/>
        <w:rPr>
          <w:sz w:val="28"/>
          <w:szCs w:val="28"/>
        </w:rPr>
      </w:pPr>
      <w:bookmarkStart w:id="38" w:name="_Toc427316523"/>
      <w:r>
        <w:t>Student Housing</w:t>
      </w:r>
      <w:bookmarkEnd w:id="38"/>
    </w:p>
    <w:p w:rsidR="001F49B9" w:rsidRDefault="001F49B9" w:rsidP="005F1E4D">
      <w:pPr>
        <w:spacing w:after="240"/>
        <w:ind w:left="-720"/>
      </w:pPr>
      <w:r>
        <w:t xml:space="preserve">Newmarket plays a critical role in housing off-campus undergraduate, graduate, and junior level faculty and staff from the University of New Hampshire in the adjacent community of Durham. In recent years, Durham’s downtown and periphery </w:t>
      </w:r>
      <w:proofErr w:type="gramStart"/>
      <w:r>
        <w:t>have been transformed</w:t>
      </w:r>
      <w:proofErr w:type="gramEnd"/>
      <w:r>
        <w:t xml:space="preserve"> by the combination of two forces: changing preferences among younger generations in student housing and a significant increase in the interest among developers in capitalizing upon this very change.</w:t>
      </w:r>
    </w:p>
    <w:p w:rsidR="001F49B9" w:rsidRDefault="001F49B9" w:rsidP="001F49B9">
      <w:pPr>
        <w:ind w:left="-720"/>
      </w:pPr>
      <w:r>
        <w:t xml:space="preserve">These housing preferences among University students have evolved significantly in the last ten years. Current students, commonly grouped into what are known as Millennials, are expressing much different expectations for housing from those of their </w:t>
      </w:r>
      <w:proofErr w:type="gramStart"/>
      <w:r>
        <w:t>Baby-Boom</w:t>
      </w:r>
      <w:proofErr w:type="gramEnd"/>
      <w:r>
        <w:t xml:space="preserve"> and Generation X parents. Unlike Baby-Boomers who shared bedrooms, bathrooms, and other amenities, Millennials seek private accommodations that offer shared social spaces, and are willing to pay for it. In fact, one national survey of students indicates that only 3.2% of respondents would prefer ‘traditional’ dormitory-style housing; the most popular housing-type being mixed-use apartments with retail on the first floor and within close proximity to campus. </w:t>
      </w:r>
    </w:p>
    <w:p w:rsidR="001F49B9" w:rsidRDefault="001F49B9" w:rsidP="001F49B9">
      <w:pPr>
        <w:ind w:left="-720"/>
      </w:pPr>
      <w:r>
        <w:t xml:space="preserve">Housing has become an important marketing tool for higher education institutions when recruiting students. In order to compete with other colleges and universities, schools </w:t>
      </w:r>
      <w:proofErr w:type="gramStart"/>
      <w:r>
        <w:t>like</w:t>
      </w:r>
      <w:proofErr w:type="gramEnd"/>
      <w:r>
        <w:t xml:space="preserve"> UNH must strategically diversify their on-campus housing stock, a task that has proved challenging for many state funded higher education institutions. State institutions, like the University of New Hampshire, are under pressure to maximize the use of limited financial resources </w:t>
      </w:r>
      <w:proofErr w:type="gramStart"/>
      <w:r>
        <w:t>as a result</w:t>
      </w:r>
      <w:proofErr w:type="gramEnd"/>
      <w:r>
        <w:t xml:space="preserve"> of decreased government funding of higher </w:t>
      </w:r>
      <w:r>
        <w:lastRenderedPageBreak/>
        <w:t xml:space="preserve">education. The result is a lucrative market opportunity for private housing developers in communities like Durham. </w:t>
      </w:r>
    </w:p>
    <w:p w:rsidR="001F49B9" w:rsidRDefault="001F49B9" w:rsidP="001F49B9">
      <w:pPr>
        <w:ind w:left="-720"/>
      </w:pPr>
      <w:r>
        <w:t>The University of New Hampshire, as of October 2013, has approximately 12,531 undergraduate and 2,411 graduate students enrolled. In order to house these students, the University provides 7,180 beds of undergraduate housing and 333 beds of family/graduate housing.  Therefore, 57% of undergraduate and 14% of graduate students can, and do, reside on-campus. This means that 5,351 undergraduate and 2,078 graduate UNH students need some form of off-campus housing. Historically, these students have occupied rental housing units in downtown and adjacent traditional neighborhood single-family homes in Durham, or affordable rental units in Dover and Newmarket serviced by COAST and Wildcat transit agencies.</w:t>
      </w:r>
    </w:p>
    <w:p w:rsidR="001F49B9" w:rsidRDefault="001F49B9" w:rsidP="001F49B9">
      <w:pPr>
        <w:ind w:left="-720"/>
      </w:pPr>
      <w:r>
        <w:t xml:space="preserve">However, with the increase expected in supply within the community of Durham </w:t>
      </w:r>
      <w:proofErr w:type="gramStart"/>
      <w:r>
        <w:t>as a result</w:t>
      </w:r>
      <w:proofErr w:type="gramEnd"/>
      <w:r>
        <w:t xml:space="preserve"> of several large and small student housing developments, it is anticipated that demand will soon be matched with supply. This could potentially decrease interest from UNH students and staff in finding housing in both Dover and Newmarket.</w:t>
      </w:r>
    </w:p>
    <w:p w:rsidR="001F49B9" w:rsidRDefault="001F49B9" w:rsidP="001F49B9">
      <w:pPr>
        <w:ind w:left="-720"/>
        <w:rPr>
          <w:noProof/>
          <w:color w:val="FF0000"/>
        </w:rPr>
      </w:pPr>
      <w:r>
        <w:t>A decrease in off-campus housing demand for UNH students represents both a challenge and opportunity for the community. With fewer transient residents, vacancy rates have the potential to increase, and several businesses may struggle to adjust to a change in demographics. Nevertheless, vacant downtown housing units represent a solution for creating housing stock for young professionals, families, and even elderly; all of whom seek access to services and amenities located in the downtown area.</w:t>
      </w:r>
      <w:r>
        <w:rPr>
          <w:noProof/>
          <w:color w:val="FF0000"/>
        </w:rPr>
        <w:t xml:space="preserve"> </w:t>
      </w:r>
    </w:p>
    <w:p w:rsidR="001F49B9" w:rsidRDefault="001F49B9" w:rsidP="001F49B9">
      <w:pPr>
        <w:pStyle w:val="Heading2"/>
        <w:rPr>
          <w:sz w:val="28"/>
          <w:szCs w:val="28"/>
        </w:rPr>
      </w:pPr>
      <w:bookmarkStart w:id="39" w:name="_Toc427316524"/>
      <w:r>
        <w:rPr>
          <w:noProof/>
          <w:sz w:val="28"/>
          <w:szCs w:val="28"/>
        </w:rPr>
        <w:drawing>
          <wp:anchor distT="0" distB="0" distL="114300" distR="114300" simplePos="0" relativeHeight="251706368" behindDoc="0" locked="0" layoutInCell="1" allowOverlap="1">
            <wp:simplePos x="0" y="0"/>
            <wp:positionH relativeFrom="column">
              <wp:posOffset>3656330</wp:posOffset>
            </wp:positionH>
            <wp:positionV relativeFrom="paragraph">
              <wp:posOffset>339725</wp:posOffset>
            </wp:positionV>
            <wp:extent cx="2950210" cy="2054225"/>
            <wp:effectExtent l="171450" t="152400" r="345440" b="155575"/>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2487295" cy="1580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Universal Design</w:t>
      </w:r>
      <w:bookmarkEnd w:id="39"/>
    </w:p>
    <w:p w:rsidR="001F49B9" w:rsidRDefault="001F49B9" w:rsidP="001F49B9">
      <w:pPr>
        <w:ind w:left="-720" w:right="-720"/>
      </w:pPr>
      <w:r>
        <w:t>The traditional housing model defines a gradient of housing based on ‘life-stage’ progression, with individuals moving from smaller, more affordable rental units, to larger, more expensive ownership experiences. However, housing’s new model is a more age-universal one focused on the provision of housing that is attractive and affordable to multiple generations of owners and renters.</w:t>
      </w:r>
    </w:p>
    <w:p w:rsidR="001F49B9" w:rsidRDefault="0074215A" w:rsidP="001F49B9">
      <w:pPr>
        <w:ind w:left="-720" w:right="-720"/>
      </w:pPr>
      <w:r>
        <w:rPr>
          <w:noProof/>
        </w:rPr>
        <mc:AlternateContent>
          <mc:Choice Requires="wps">
            <w:drawing>
              <wp:anchor distT="0" distB="0" distL="114300" distR="114300" simplePos="0" relativeHeight="251725824" behindDoc="0" locked="0" layoutInCell="1" allowOverlap="1" wp14:anchorId="67C531EA" wp14:editId="1318BAE2">
                <wp:simplePos x="0" y="0"/>
                <wp:positionH relativeFrom="column">
                  <wp:posOffset>4193627</wp:posOffset>
                </wp:positionH>
                <wp:positionV relativeFrom="paragraph">
                  <wp:posOffset>241650</wp:posOffset>
                </wp:positionV>
                <wp:extent cx="2633191" cy="220718"/>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191" cy="220718"/>
                        </a:xfrm>
                        <a:prstGeom prst="rect">
                          <a:avLst/>
                        </a:prstGeom>
                        <a:noFill/>
                        <a:ln w="9525">
                          <a:noFill/>
                          <a:miter lim="800000"/>
                          <a:headEnd/>
                          <a:tailEnd/>
                        </a:ln>
                      </wps:spPr>
                      <wps:txbx>
                        <w:txbxContent>
                          <w:p w:rsidR="009A5582" w:rsidRPr="00F04A9F" w:rsidRDefault="009A5582" w:rsidP="0074215A">
                            <w:pPr>
                              <w:rPr>
                                <w:sz w:val="16"/>
                                <w:szCs w:val="16"/>
                              </w:rPr>
                            </w:pPr>
                            <w:r>
                              <w:rPr>
                                <w:sz w:val="16"/>
                                <w:szCs w:val="16"/>
                              </w:rPr>
                              <w:t>Universal Design Sample</w:t>
                            </w:r>
                            <w:r>
                              <w:rPr>
                                <w:sz w:val="16"/>
                                <w:szCs w:val="16"/>
                              </w:rPr>
                              <w:tab/>
                              <w:t>Source: SRPC RHNA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0.2pt;margin-top:19.05pt;width:207.35pt;height:1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" filled="f" stroked="f">
                <v:textbox>
                  <w:txbxContent>
                    <w:p w:rsidR="009A5582" w:rsidRPr="00F04A9F" w:rsidRDefault="009A5582" w:rsidP="0074215A">
                      <w:pPr>
                        <w:rPr>
                          <w:sz w:val="16"/>
                          <w:szCs w:val="16"/>
                        </w:rPr>
                      </w:pPr>
                      <w:r>
                        <w:rPr>
                          <w:sz w:val="16"/>
                          <w:szCs w:val="16"/>
                        </w:rPr>
                        <w:t>Universal Design Sample</w:t>
                      </w:r>
                      <w:r>
                        <w:rPr>
                          <w:sz w:val="16"/>
                          <w:szCs w:val="16"/>
                        </w:rPr>
                        <w:tab/>
                        <w:t>Source: SRPC RHNA</w:t>
                      </w:r>
                    </w:p>
                  </w:txbxContent>
                </v:textbox>
              </v:shape>
            </w:pict>
          </mc:Fallback>
        </mc:AlternateContent>
      </w:r>
      <w:r w:rsidR="001F49B9">
        <w:t>Housing developers and real estate markets have historically attempted to target specific homeownership stock to specific demographic groups, i.e. “first-t</w:t>
      </w:r>
      <w:r w:rsidR="005F1E4D">
        <w:t>ime buyer”, “empty nester”, etc</w:t>
      </w:r>
      <w:r w:rsidR="001F49B9">
        <w:t xml:space="preserve">. Similarly, labels such as “family” and “elderly” </w:t>
      </w:r>
      <w:proofErr w:type="gramStart"/>
      <w:r w:rsidR="001F49B9">
        <w:t>have been applied</w:t>
      </w:r>
      <w:proofErr w:type="gramEnd"/>
      <w:r w:rsidR="001F49B9">
        <w:t xml:space="preserve"> to multi-family rental developments that are not significantly different from one another. The concept of universal design removes such labels, and instead promotes designs that facilitate more flexibility for those in sometimes very different “life stages” or physical conditions.</w:t>
      </w:r>
    </w:p>
    <w:p w:rsidR="001F49B9" w:rsidRDefault="001F49B9" w:rsidP="001F49B9">
      <w:pPr>
        <w:ind w:left="-720" w:right="-720"/>
      </w:pPr>
      <w:r>
        <w:t>Universal design concepts include:</w:t>
      </w:r>
    </w:p>
    <w:p w:rsidR="001F49B9" w:rsidRDefault="001F49B9" w:rsidP="001F49B9">
      <w:pPr>
        <w:numPr>
          <w:ilvl w:val="0"/>
          <w:numId w:val="29"/>
        </w:numPr>
        <w:ind w:right="-720" w:hanging="720"/>
        <w:contextualSpacing/>
      </w:pPr>
      <w:r>
        <w:t>Decreased reliance on the use of stairs to enter, exit, and move through the home</w:t>
      </w:r>
    </w:p>
    <w:p w:rsidR="001F49B9" w:rsidRDefault="001F49B9" w:rsidP="001F49B9">
      <w:pPr>
        <w:numPr>
          <w:ilvl w:val="0"/>
          <w:numId w:val="29"/>
        </w:numPr>
        <w:ind w:right="-720" w:hanging="720"/>
        <w:contextualSpacing/>
      </w:pPr>
      <w:r>
        <w:t>No step entrances and door openings wide enough to accommodate a wheel chair</w:t>
      </w:r>
    </w:p>
    <w:p w:rsidR="001F49B9" w:rsidRDefault="001F49B9" w:rsidP="001F49B9">
      <w:pPr>
        <w:numPr>
          <w:ilvl w:val="0"/>
          <w:numId w:val="29"/>
        </w:numPr>
        <w:ind w:right="-720" w:hanging="720"/>
        <w:contextualSpacing/>
      </w:pPr>
      <w:r>
        <w:t xml:space="preserve">At least one bedroom and an accessible bathroom on the first floor </w:t>
      </w:r>
    </w:p>
    <w:p w:rsidR="001F49B9" w:rsidRDefault="001F49B9" w:rsidP="001F49B9">
      <w:pPr>
        <w:numPr>
          <w:ilvl w:val="0"/>
          <w:numId w:val="29"/>
        </w:numPr>
        <w:ind w:right="-720" w:hanging="720"/>
        <w:contextualSpacing/>
      </w:pPr>
      <w:r>
        <w:lastRenderedPageBreak/>
        <w:t>An open floor plan for good interior circulation</w:t>
      </w:r>
    </w:p>
    <w:p w:rsidR="001F49B9" w:rsidRDefault="001F49B9" w:rsidP="001F49B9">
      <w:pPr>
        <w:numPr>
          <w:ilvl w:val="0"/>
          <w:numId w:val="29"/>
        </w:numPr>
        <w:ind w:right="-720" w:hanging="720"/>
        <w:contextualSpacing/>
      </w:pPr>
      <w:r>
        <w:t>Bathrooms with adequate maneuvering space and an accessible toilet and sink</w:t>
      </w:r>
    </w:p>
    <w:p w:rsidR="001F49B9" w:rsidRDefault="001F49B9" w:rsidP="001F49B9">
      <w:pPr>
        <w:numPr>
          <w:ilvl w:val="0"/>
          <w:numId w:val="29"/>
        </w:numPr>
        <w:ind w:right="-720" w:hanging="720"/>
        <w:contextualSpacing/>
      </w:pPr>
      <w:r>
        <w:t>Kitchens with clear knee space under the sink, countertops and cook tops, thereby making them accessible for persons in wheelchairs</w:t>
      </w:r>
    </w:p>
    <w:p w:rsidR="001F49B9" w:rsidRDefault="001F49B9" w:rsidP="001F49B9">
      <w:pPr>
        <w:numPr>
          <w:ilvl w:val="0"/>
          <w:numId w:val="29"/>
        </w:numPr>
        <w:ind w:right="-720" w:hanging="720"/>
        <w:contextualSpacing/>
      </w:pPr>
      <w:r>
        <w:t>Hardware such as lever door handles, push plates, and loop handles (instead of knobs) on drawers and cabinet doors</w:t>
      </w:r>
    </w:p>
    <w:p w:rsidR="001F49B9" w:rsidRDefault="001F49B9" w:rsidP="001F49B9">
      <w:pPr>
        <w:ind w:left="-720" w:right="-720"/>
        <w:contextualSpacing/>
        <w:jc w:val="right"/>
        <w:rPr>
          <w:sz w:val="16"/>
          <w:szCs w:val="16"/>
        </w:rPr>
      </w:pPr>
      <w:r>
        <w:rPr>
          <w:sz w:val="16"/>
          <w:szCs w:val="16"/>
        </w:rPr>
        <w:t xml:space="preserve">[Source: </w:t>
      </w:r>
      <w:proofErr w:type="spellStart"/>
      <w:r>
        <w:rPr>
          <w:sz w:val="16"/>
          <w:szCs w:val="16"/>
        </w:rPr>
        <w:t>tjpdc.ord</w:t>
      </w:r>
      <w:proofErr w:type="spellEnd"/>
      <w:r>
        <w:rPr>
          <w:sz w:val="16"/>
          <w:szCs w:val="16"/>
        </w:rPr>
        <w:t>]</w:t>
      </w:r>
    </w:p>
    <w:p w:rsidR="001F49B9" w:rsidRDefault="001F49B9" w:rsidP="001F49B9">
      <w:pPr>
        <w:pStyle w:val="Heading2"/>
        <w:rPr>
          <w:sz w:val="28"/>
          <w:szCs w:val="28"/>
        </w:rPr>
      </w:pPr>
      <w:bookmarkStart w:id="40" w:name="_Toc427316525"/>
      <w:r>
        <w:t>Accessory Dwelling Units</w:t>
      </w:r>
      <w:bookmarkEnd w:id="40"/>
    </w:p>
    <w:p w:rsidR="001F49B9" w:rsidRDefault="001F49B9" w:rsidP="001F49B9">
      <w:pPr>
        <w:ind w:left="-720" w:right="-720"/>
      </w:pPr>
      <w:r>
        <w:t xml:space="preserve">It is impractical to assume that </w:t>
      </w:r>
      <w:proofErr w:type="gramStart"/>
      <w:r>
        <w:t>every elderly homeowner will be willing or able to move from their</w:t>
      </w:r>
      <w:proofErr w:type="gramEnd"/>
      <w:r>
        <w:t xml:space="preserve"> single family home to an apartment, condominium, or cooperative unit specially designed for their needs. One reason is there is a preference to remain in one’s home. A second reason is there are few alternatives available for seniors to purchase a different type of home without incurring new mortgage debt, or to rent a unit at a reasonable cost. A third issue could emerge from the demographic projections by age group over the next 20 years. If a large number of senior homeowners want to sell their homes in order to downsize or relocate, there may not be a sufficient pool of younger households with the interest or f</w:t>
      </w:r>
      <w:r w:rsidR="005F1E4D">
        <w:t>inancial capability to buy them, thus resulting in high vacancy rates.</w:t>
      </w:r>
    </w:p>
    <w:p w:rsidR="001F49B9" w:rsidRDefault="001F49B9" w:rsidP="001F49B9">
      <w:pPr>
        <w:ind w:left="-720" w:right="-720"/>
      </w:pPr>
      <w:r>
        <w:t xml:space="preserve">One approach is to make the single family home more versatile by incorporating accessory units into new </w:t>
      </w:r>
      <w:proofErr w:type="gramStart"/>
      <w:r>
        <w:t>single family</w:t>
      </w:r>
      <w:proofErr w:type="gramEnd"/>
      <w:r>
        <w:t xml:space="preserve"> construction, and to provide opportunities to create additional units through the conversion of existing homes to more than one unit. Such provisions provide valuable housing options for young workers as well as seniors. Though typically created in connection with a pre-existing </w:t>
      </w:r>
      <w:proofErr w:type="gramStart"/>
      <w:r>
        <w:t>single family</w:t>
      </w:r>
      <w:proofErr w:type="gramEnd"/>
      <w:r>
        <w:t xml:space="preserve"> use, consideration should be given to regulations that would allow for accessory units to be constructed within new housing units as well. While the use of “in-law” apartments is one response, restrictions that limit their occupancy to persons related to the owner introduces yet another constraint on the flexibility of the housing created.</w:t>
      </w:r>
    </w:p>
    <w:p w:rsidR="001F49B9" w:rsidRDefault="001F49B9" w:rsidP="001F49B9">
      <w:pPr>
        <w:ind w:left="-720" w:right="-720"/>
      </w:pPr>
      <w:r>
        <w:t xml:space="preserve">The creation of an accessory unit </w:t>
      </w:r>
      <w:proofErr w:type="gramStart"/>
      <w:r>
        <w:t>may be regulated</w:t>
      </w:r>
      <w:proofErr w:type="gramEnd"/>
      <w:r>
        <w:t xml:space="preserve"> by reasonable limits on floor area and number of bedrooms. These smaller units can serve emerging market needs by enabling various types of household transitions. First, an accessory unit </w:t>
      </w:r>
      <w:proofErr w:type="gramStart"/>
      <w:r>
        <w:t>could be added</w:t>
      </w:r>
      <w:proofErr w:type="gramEnd"/>
      <w:r>
        <w:t xml:space="preserve"> by a senior household renting out that unit for extra income while providing housing for another smaller household (related or not related). </w:t>
      </w:r>
      <w:proofErr w:type="gramStart"/>
      <w:r>
        <w:t>An accessory unit might be added by a young family to provide a separate unit for an elderly relative or other small household of 1-2 persons</w:t>
      </w:r>
      <w:proofErr w:type="gramEnd"/>
      <w:r>
        <w:t xml:space="preserve">. Another situation might involve a senior homeowner moving into the accessory apartment, then renting the principal unit to a household that needs the larger space. In all </w:t>
      </w:r>
      <w:proofErr w:type="gramStart"/>
      <w:r>
        <w:t>cases</w:t>
      </w:r>
      <w:proofErr w:type="gramEnd"/>
      <w:r>
        <w:t xml:space="preserve"> the flexibility of the housing site is enabled so that it can be used by more than one household, or can serve intergenerational needs. Local zoning regulations, however, may not currently permit such flexibility.</w:t>
      </w:r>
    </w:p>
    <w:p w:rsidR="001F49B9" w:rsidRDefault="001F49B9" w:rsidP="001F49B9">
      <w:pPr>
        <w:ind w:left="-720" w:right="-720"/>
      </w:pPr>
      <w:r>
        <w:t xml:space="preserve">In some cases, any conversion or modification that creates a second unit or the subdivision of the house into multiple units </w:t>
      </w:r>
      <w:proofErr w:type="gramStart"/>
      <w:r>
        <w:t>would be bound</w:t>
      </w:r>
      <w:proofErr w:type="gramEnd"/>
      <w:r>
        <w:t xml:space="preserve"> by regulations that essentially recognize any additional unit as equivalent to adding another single family home. To add even a small dwelling unit under some zoning regulations may require a doubling of land area, increased frontage, more septic capacity, parking, or other features all to accommodate the impact of another one or two persons on the site. Alternatives should be sought which permit these small increments in living area and occupancy in recognition of the marginal demands of small apartments.</w:t>
      </w:r>
    </w:p>
    <w:p w:rsidR="001F49B9" w:rsidRDefault="001F49B9" w:rsidP="001F49B9">
      <w:pPr>
        <w:ind w:left="-720" w:right="-720"/>
        <w:jc w:val="right"/>
        <w:rPr>
          <w:sz w:val="16"/>
          <w:szCs w:val="16"/>
        </w:rPr>
      </w:pPr>
      <w:r>
        <w:rPr>
          <w:sz w:val="16"/>
          <w:szCs w:val="16"/>
        </w:rPr>
        <w:t xml:space="preserve"> [Source: SRPC Regional Housing Needs Assessment 2015]</w:t>
      </w:r>
    </w:p>
    <w:p w:rsidR="001F49B9" w:rsidRDefault="001F49B9" w:rsidP="001F49B9">
      <w:pPr>
        <w:pStyle w:val="Heading2"/>
        <w:rPr>
          <w:sz w:val="28"/>
          <w:szCs w:val="28"/>
        </w:rPr>
      </w:pPr>
      <w:bookmarkStart w:id="41" w:name="_Toc427316526"/>
      <w:r>
        <w:lastRenderedPageBreak/>
        <w:t>Condos and Cooperatives</w:t>
      </w:r>
      <w:bookmarkEnd w:id="41"/>
    </w:p>
    <w:p w:rsidR="001F49B9" w:rsidRDefault="001F49B9" w:rsidP="001F49B9">
      <w:pPr>
        <w:ind w:left="-720" w:right="-720"/>
      </w:pPr>
      <w:r>
        <w:t xml:space="preserve">More opportunities </w:t>
      </w:r>
      <w:proofErr w:type="gramStart"/>
      <w:r>
        <w:t>are needed</w:t>
      </w:r>
      <w:proofErr w:type="gramEnd"/>
      <w:r>
        <w:t xml:space="preserve"> to accommodate today’s smaller households as well as to allow a growing senior population to move to downsized housing products. A common approach to senior housing in New Hampshire is the creation of “55-and-over” age restricted communities (many of which are large </w:t>
      </w:r>
      <w:proofErr w:type="gramStart"/>
      <w:r>
        <w:t>single family</w:t>
      </w:r>
      <w:proofErr w:type="gramEnd"/>
      <w:r>
        <w:t xml:space="preserve"> home subdivisions or attached housing) or rental housing for the elderly (age 55+ or age 62+). </w:t>
      </w:r>
      <w:proofErr w:type="gramStart"/>
      <w:r>
        <w:t>There are fewer multifamily condominium units designed</w:t>
      </w:r>
      <w:proofErr w:type="gramEnd"/>
      <w:r>
        <w:t xml:space="preserve"> for this age group, and very little experience with senior cooperatives with the exception of manufactured housing parks.</w:t>
      </w:r>
    </w:p>
    <w:p w:rsidR="001F49B9" w:rsidRDefault="001F49B9" w:rsidP="001F49B9">
      <w:pPr>
        <w:ind w:left="-720" w:right="-720"/>
      </w:pPr>
      <w:r>
        <w:t xml:space="preserve">Condos and coops offer households, particularly seniors, the opportunity of preserving the assets gained from the buildup of home equity, and apply them to the purchase of smaller, more accessible and manageable homes. </w:t>
      </w:r>
      <w:r w:rsidR="00AB7DC3">
        <w:t xml:space="preserve">Such </w:t>
      </w:r>
      <w:r>
        <w:t>units would allow the household to preserve its equity position as it makes a transition without incurring new mortgage debt.</w:t>
      </w:r>
    </w:p>
    <w:p w:rsidR="001F49B9" w:rsidRDefault="001F49B9" w:rsidP="004006FE">
      <w:pPr>
        <w:ind w:left="-720" w:right="-720"/>
      </w:pPr>
      <w:r>
        <w:t xml:space="preserve">Products that </w:t>
      </w:r>
      <w:proofErr w:type="gramStart"/>
      <w:r>
        <w:t>are priced</w:t>
      </w:r>
      <w:proofErr w:type="gramEnd"/>
      <w:r>
        <w:t xml:space="preserve"> to allow households to buy a unit purchased with the proceeds from the sale of their larger single family home are needed, with prices that are comparable to the resale value the average homeowner can expect to receive. Creation of such units may require participation of a non-profit developer to achieve pricing goals and the preservation of a</w:t>
      </w:r>
      <w:r w:rsidR="004006FE">
        <w:t xml:space="preserve">ffordability through covenants. </w:t>
      </w:r>
      <w:r>
        <w:t xml:space="preserve">If the </w:t>
      </w:r>
      <w:proofErr w:type="gramStart"/>
      <w:r>
        <w:t>condo</w:t>
      </w:r>
      <w:proofErr w:type="gramEnd"/>
      <w:r>
        <w:t xml:space="preserve"> or coop unit is </w:t>
      </w:r>
      <w:r w:rsidR="004006FE">
        <w:t>marketed</w:t>
      </w:r>
      <w:r>
        <w:t xml:space="preserve"> as a luxury product, it may instead attract a more affluent market.</w:t>
      </w:r>
    </w:p>
    <w:p w:rsidR="001F49B9" w:rsidRDefault="001F49B9" w:rsidP="001F49B9">
      <w:pPr>
        <w:ind w:left="-720" w:right="-720"/>
        <w:jc w:val="right"/>
        <w:rPr>
          <w:sz w:val="16"/>
          <w:szCs w:val="16"/>
        </w:rPr>
      </w:pPr>
      <w:r>
        <w:rPr>
          <w:sz w:val="16"/>
          <w:szCs w:val="16"/>
        </w:rPr>
        <w:t>[Source: SRPC Regional Housing Needs Assessment 2015]</w:t>
      </w:r>
    </w:p>
    <w:p w:rsidR="001F49B9" w:rsidRDefault="001F49B9" w:rsidP="001F49B9">
      <w:pPr>
        <w:pStyle w:val="Heading2"/>
        <w:rPr>
          <w:rFonts w:eastAsia="Droid Sans Fallback"/>
          <w:sz w:val="20"/>
          <w:szCs w:val="20"/>
          <w:lang w:eastAsia="zh-CN" w:bidi="hi-IN"/>
        </w:rPr>
      </w:pPr>
      <w:bookmarkStart w:id="42" w:name="_Toc427316527"/>
      <w:r>
        <w:rPr>
          <w:rFonts w:eastAsia="Droid Sans Fallback"/>
          <w:lang w:eastAsia="zh-CN" w:bidi="hi-IN"/>
        </w:rPr>
        <w:t>Property Tax Policies</w:t>
      </w:r>
      <w:bookmarkEnd w:id="42"/>
    </w:p>
    <w:p w:rsidR="001F49B9" w:rsidRDefault="001F49B9" w:rsidP="001F49B9">
      <w:pPr>
        <w:widowControl w:val="0"/>
        <w:suppressAutoHyphens/>
        <w:spacing w:before="120" w:after="120"/>
        <w:ind w:left="-720" w:right="-720"/>
        <w:rPr>
          <w:rFonts w:eastAsia="Droid Sans Fallback" w:cs="Lohit Hindi"/>
          <w:lang w:eastAsia="zh-CN" w:bidi="hi-IN"/>
        </w:rPr>
      </w:pPr>
      <w:r>
        <w:rPr>
          <w:rFonts w:eastAsia="Droid Sans Fallback" w:cs="Lohit Hindi"/>
          <w:lang w:eastAsia="zh-CN" w:bidi="hi-IN"/>
        </w:rPr>
        <w:t>New Hampshire municipalities are required to allow exemptions for Elderly Homeowners (RSA 72-39: a.), ages 65 or older, via the opportunity to exempt a certain portion of the assessed valuation of their homes from property taxation.</w:t>
      </w:r>
    </w:p>
    <w:p w:rsidR="001F49B9" w:rsidRDefault="001F49B9" w:rsidP="001F49B9">
      <w:pPr>
        <w:widowControl w:val="0"/>
        <w:suppressAutoHyphens/>
        <w:spacing w:before="120" w:after="120"/>
        <w:ind w:left="-720" w:right="-720"/>
        <w:rPr>
          <w:rFonts w:eastAsia="Droid Sans Fallback" w:cs="Lohit Hindi"/>
          <w:lang w:eastAsia="zh-CN" w:bidi="hi-IN"/>
        </w:rPr>
      </w:pPr>
      <w:r>
        <w:rPr>
          <w:rFonts w:eastAsia="Droid Sans Fallback" w:cs="Lohit Hindi"/>
          <w:lang w:eastAsia="zh-CN" w:bidi="hi-IN"/>
        </w:rPr>
        <w:t xml:space="preserve">The amount of valuation that may be exempted increases by the age of the recipient. However, the criteria and exemption amounts vary based on the policy of each community. The intent is to reduce the total property tax expense for elderly homeowners of limited </w:t>
      </w:r>
      <w:proofErr w:type="gramStart"/>
      <w:r>
        <w:rPr>
          <w:rFonts w:eastAsia="Droid Sans Fallback" w:cs="Lohit Hindi"/>
          <w:lang w:eastAsia="zh-CN" w:bidi="hi-IN"/>
        </w:rPr>
        <w:t>means which</w:t>
      </w:r>
      <w:proofErr w:type="gramEnd"/>
      <w:r>
        <w:rPr>
          <w:rFonts w:eastAsia="Droid Sans Fallback" w:cs="Lohit Hindi"/>
          <w:lang w:eastAsia="zh-CN" w:bidi="hi-IN"/>
        </w:rPr>
        <w:t xml:space="preserve"> in turn helps seniors “age in place” by reducing their ownership carrying costs.</w:t>
      </w:r>
    </w:p>
    <w:p w:rsidR="001F49B9" w:rsidRDefault="001F49B9" w:rsidP="001F49B9">
      <w:pPr>
        <w:widowControl w:val="0"/>
        <w:suppressAutoHyphens/>
        <w:spacing w:before="120" w:after="120"/>
        <w:ind w:left="-720" w:right="-720"/>
        <w:rPr>
          <w:rFonts w:eastAsia="Droid Sans Fallback" w:cs="Lohit Hindi"/>
          <w:lang w:eastAsia="zh-CN" w:bidi="hi-IN"/>
        </w:rPr>
      </w:pPr>
      <w:r>
        <w:rPr>
          <w:rFonts w:eastAsia="Droid Sans Fallback" w:cs="Lohit Hindi"/>
          <w:lang w:eastAsia="zh-CN" w:bidi="hi-IN"/>
        </w:rPr>
        <w:t>Participating homeowners must have a household income as well as assets that are below stated maximums adopted by the locality.</w:t>
      </w:r>
    </w:p>
    <w:p w:rsidR="001F49B9" w:rsidRDefault="001F49B9" w:rsidP="001F49B9">
      <w:pPr>
        <w:widowControl w:val="0"/>
        <w:suppressAutoHyphens/>
        <w:spacing w:before="120" w:after="120"/>
        <w:ind w:left="-720" w:right="-720"/>
        <w:rPr>
          <w:rFonts w:eastAsia="Droid Sans Fallback" w:cs="Lohit Hindi"/>
          <w:lang w:eastAsia="zh-CN" w:bidi="hi-IN"/>
        </w:rPr>
      </w:pPr>
      <w:r>
        <w:rPr>
          <w:rFonts w:eastAsia="Droid Sans Fallback" w:cs="Lohit Hindi"/>
          <w:lang w:eastAsia="zh-CN" w:bidi="hi-IN"/>
        </w:rPr>
        <w:t xml:space="preserve">The use of these exemptions results in shifting some of the local tax burden away from </w:t>
      </w:r>
      <w:proofErr w:type="gramStart"/>
      <w:r>
        <w:rPr>
          <w:rFonts w:eastAsia="Droid Sans Fallback" w:cs="Lohit Hindi"/>
          <w:lang w:eastAsia="zh-CN" w:bidi="hi-IN"/>
        </w:rPr>
        <w:t>low income</w:t>
      </w:r>
      <w:proofErr w:type="gramEnd"/>
      <w:r>
        <w:rPr>
          <w:rFonts w:eastAsia="Droid Sans Fallback" w:cs="Lohit Hindi"/>
          <w:lang w:eastAsia="zh-CN" w:bidi="hi-IN"/>
        </w:rPr>
        <w:t xml:space="preserve"> elderly homeowners, and to other taxpayers (which includes non-elderly homeowners of limited means). </w:t>
      </w:r>
    </w:p>
    <w:p w:rsidR="001F49B9" w:rsidRDefault="001F49B9" w:rsidP="001F49B9">
      <w:pPr>
        <w:widowControl w:val="0"/>
        <w:suppressAutoHyphens/>
        <w:spacing w:before="120" w:after="120"/>
        <w:ind w:left="-720" w:right="-720"/>
        <w:rPr>
          <w:rFonts w:eastAsia="Droid Sans Fallback" w:cs="Lohit Hindi"/>
          <w:lang w:eastAsia="zh-CN" w:bidi="hi-IN"/>
        </w:rPr>
      </w:pPr>
      <w:r>
        <w:rPr>
          <w:rFonts w:eastAsia="Droid Sans Fallback" w:cs="Lohit Hindi"/>
          <w:lang w:eastAsia="zh-CN" w:bidi="hi-IN"/>
        </w:rPr>
        <w:t>Municipalities will be dealing with an increasing number of exemption applications and the related tax shifts that will be involved. The exemption amount per participant is likely to rise as the population ages and more households fall within age groups that qualify for higher valuation exemptions.</w:t>
      </w:r>
    </w:p>
    <w:p w:rsidR="001F49B9" w:rsidRDefault="001F49B9" w:rsidP="001F49B9">
      <w:pPr>
        <w:widowControl w:val="0"/>
        <w:suppressAutoHyphens/>
        <w:spacing w:before="120" w:after="120"/>
        <w:ind w:left="-720" w:right="-720"/>
        <w:rPr>
          <w:rFonts w:eastAsia="Droid Sans Fallback" w:cs="Lohit Hindi"/>
          <w:lang w:eastAsia="zh-CN" w:bidi="hi-IN"/>
        </w:rPr>
      </w:pPr>
      <w:r>
        <w:rPr>
          <w:rFonts w:eastAsia="Droid Sans Fallback" w:cs="Lohit Hindi"/>
          <w:lang w:eastAsia="zh-CN" w:bidi="hi-IN"/>
        </w:rPr>
        <w:t>Additionally, exemptions can be provided for improvements to Assist Persons with Disabilities (RSA 72: 37-a). Assessed valuation of property that is attributable to components of the structure including wheelchair ramps, extra wide doorways, elevators or other eligible improvements may be exempt from property taxation.</w:t>
      </w:r>
    </w:p>
    <w:p w:rsidR="001F49B9" w:rsidRDefault="001F49B9" w:rsidP="001F49B9">
      <w:pPr>
        <w:ind w:left="-720" w:right="-720"/>
        <w:jc w:val="right"/>
        <w:rPr>
          <w:sz w:val="16"/>
          <w:szCs w:val="16"/>
        </w:rPr>
      </w:pPr>
      <w:r>
        <w:rPr>
          <w:sz w:val="16"/>
          <w:szCs w:val="16"/>
        </w:rPr>
        <w:t>[Source: SRPC Regional Housing Needs Assessment 2015]</w:t>
      </w:r>
    </w:p>
    <w:p w:rsidR="001F49B9" w:rsidRDefault="001F49B9" w:rsidP="001F49B9">
      <w:pPr>
        <w:pStyle w:val="Heading2"/>
        <w:spacing w:before="360"/>
        <w:rPr>
          <w:sz w:val="28"/>
          <w:szCs w:val="28"/>
        </w:rPr>
      </w:pPr>
      <w:bookmarkStart w:id="43" w:name="_Toc427316528"/>
      <w:r>
        <w:lastRenderedPageBreak/>
        <w:t>Expansion of Ownership Opportunities</w:t>
      </w:r>
      <w:bookmarkEnd w:id="43"/>
      <w:r>
        <w:t xml:space="preserve"> </w:t>
      </w:r>
    </w:p>
    <w:p w:rsidR="001F49B9" w:rsidRDefault="001F49B9" w:rsidP="00C30099">
      <w:pPr>
        <w:ind w:left="-720" w:right="-720"/>
      </w:pPr>
      <w:r>
        <w:t xml:space="preserve">Although Newmarket has created ample </w:t>
      </w:r>
      <w:r w:rsidR="004C66E7">
        <w:t xml:space="preserve">owner and renter </w:t>
      </w:r>
      <w:r>
        <w:t xml:space="preserve">housing stock, demographic trends suggest that many renters are unable to transition easily from </w:t>
      </w:r>
      <w:r w:rsidR="009170FB">
        <w:t>renting to owning</w:t>
      </w:r>
      <w:r>
        <w:t xml:space="preserve"> while remaining in the community. The following are a selection of methods that may create more ownership opportunities for those of varying means.</w:t>
      </w:r>
    </w:p>
    <w:p w:rsidR="001F49B9" w:rsidRDefault="004006FE" w:rsidP="001F49B9">
      <w:pPr>
        <w:pStyle w:val="Heading3"/>
        <w:ind w:left="-720"/>
        <w:rPr>
          <w:rFonts w:eastAsiaTheme="minorHAnsi"/>
          <w:i/>
        </w:rPr>
      </w:pPr>
      <w:r>
        <w:rPr>
          <w:noProof/>
        </w:rPr>
        <w:drawing>
          <wp:anchor distT="0" distB="0" distL="114300" distR="114300" simplePos="0" relativeHeight="251709440" behindDoc="0" locked="0" layoutInCell="1" allowOverlap="1" wp14:anchorId="7A994D93" wp14:editId="664208EB">
            <wp:simplePos x="0" y="0"/>
            <wp:positionH relativeFrom="column">
              <wp:posOffset>2127250</wp:posOffset>
            </wp:positionH>
            <wp:positionV relativeFrom="paragraph">
              <wp:posOffset>251460</wp:posOffset>
            </wp:positionV>
            <wp:extent cx="4438015" cy="2980690"/>
            <wp:effectExtent l="171450" t="171450" r="381635" b="353060"/>
            <wp:wrapSquare wrapText="bothSides"/>
            <wp:docPr id="28" name="Picture 28" descr="https://origin.ih.constantcontact.com/fs135/1102397538905/img/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igin.ih.constantcontact.com/fs135/1102397538905/img/123.jpg"/>
                    <pic:cNvPicPr>
                      <a:picLocks noChangeAspect="1" noChangeArrowheads="1"/>
                    </pic:cNvPicPr>
                  </pic:nvPicPr>
                  <pic:blipFill rotWithShape="1">
                    <a:blip r:embed="rId48">
                      <a:extLst>
                        <a:ext uri="{28A0092B-C50C-407E-A947-70E740481C1C}">
                          <a14:useLocalDpi xmlns:a14="http://schemas.microsoft.com/office/drawing/2010/main" val="0"/>
                        </a:ext>
                      </a:extLst>
                    </a:blip>
                    <a:srcRect r="4178" b="4927"/>
                    <a:stretch/>
                  </pic:blipFill>
                  <pic:spPr bwMode="auto">
                    <a:xfrm>
                      <a:off x="0" y="0"/>
                      <a:ext cx="4438015" cy="2980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9B9">
        <w:rPr>
          <w:rFonts w:eastAsiaTheme="minorHAnsi"/>
        </w:rPr>
        <w:t xml:space="preserve">New Construction of Homes </w:t>
      </w:r>
    </w:p>
    <w:p w:rsidR="001F49B9" w:rsidRDefault="00451428" w:rsidP="00E853AF">
      <w:pPr>
        <w:autoSpaceDE w:val="0"/>
        <w:autoSpaceDN w:val="0"/>
        <w:adjustRightInd w:val="0"/>
        <w:spacing w:before="120" w:after="0"/>
        <w:ind w:left="-720" w:right="-720"/>
        <w:rPr>
          <w:rFonts w:cs="Calibri"/>
        </w:rPr>
      </w:pPr>
      <w:r>
        <w:rPr>
          <w:noProof/>
        </w:rPr>
        <mc:AlternateContent>
          <mc:Choice Requires="wps">
            <w:drawing>
              <wp:anchor distT="0" distB="0" distL="114300" distR="114300" simplePos="0" relativeHeight="251727872" behindDoc="0" locked="0" layoutInCell="1" allowOverlap="1" wp14:anchorId="2DC28EB7" wp14:editId="1BE9C3F8">
                <wp:simplePos x="0" y="0"/>
                <wp:positionH relativeFrom="column">
                  <wp:posOffset>4493172</wp:posOffset>
                </wp:positionH>
                <wp:positionV relativeFrom="paragraph">
                  <wp:posOffset>2897155</wp:posOffset>
                </wp:positionV>
                <wp:extent cx="1971019" cy="22034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19" cy="220345"/>
                        </a:xfrm>
                        <a:prstGeom prst="rect">
                          <a:avLst/>
                        </a:prstGeom>
                        <a:noFill/>
                        <a:ln w="9525">
                          <a:noFill/>
                          <a:miter lim="800000"/>
                          <a:headEnd/>
                          <a:tailEnd/>
                        </a:ln>
                      </wps:spPr>
                      <wps:txbx>
                        <w:txbxContent>
                          <w:p w:rsidR="009A5582" w:rsidRPr="00F04A9F" w:rsidRDefault="009A5582" w:rsidP="00451428">
                            <w:pPr>
                              <w:rPr>
                                <w:sz w:val="16"/>
                                <w:szCs w:val="16"/>
                              </w:rPr>
                            </w:pPr>
                            <w:r>
                              <w:rPr>
                                <w:sz w:val="16"/>
                                <w:szCs w:val="16"/>
                              </w:rPr>
                              <w:t>Cottage Design</w:t>
                            </w:r>
                            <w:r>
                              <w:rPr>
                                <w:sz w:val="16"/>
                                <w:szCs w:val="16"/>
                              </w:rPr>
                              <w:tab/>
                              <w:t xml:space="preserve">Source: </w:t>
                            </w:r>
                            <w:proofErr w:type="spellStart"/>
                            <w:r>
                              <w:rPr>
                                <w:sz w:val="16"/>
                                <w:szCs w:val="16"/>
                              </w:rPr>
                              <w:t>PlanNH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53.8pt;margin-top:228.1pt;width:155.2pt;height:17.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" filled="f" stroked="f">
                <v:textbox>
                  <w:txbxContent>
                    <w:p w:rsidR="009A5582" w:rsidRPr="00F04A9F" w:rsidRDefault="009A5582" w:rsidP="00451428">
                      <w:pPr>
                        <w:rPr>
                          <w:sz w:val="16"/>
                          <w:szCs w:val="16"/>
                        </w:rPr>
                      </w:pPr>
                      <w:r>
                        <w:rPr>
                          <w:sz w:val="16"/>
                          <w:szCs w:val="16"/>
                        </w:rPr>
                        <w:t>Cottage Design</w:t>
                      </w:r>
                      <w:r>
                        <w:rPr>
                          <w:sz w:val="16"/>
                          <w:szCs w:val="16"/>
                        </w:rPr>
                        <w:tab/>
                        <w:t xml:space="preserve">Source: </w:t>
                      </w:r>
                      <w:proofErr w:type="spellStart"/>
                      <w:r>
                        <w:rPr>
                          <w:sz w:val="16"/>
                          <w:szCs w:val="16"/>
                        </w:rPr>
                        <w:t>PlanNH</w:t>
                      </w:r>
                      <w:proofErr w:type="spellEnd"/>
                    </w:p>
                  </w:txbxContent>
                </v:textbox>
              </v:shape>
            </w:pict>
          </mc:Fallback>
        </mc:AlternateContent>
      </w:r>
      <w:r w:rsidR="001F49B9">
        <w:rPr>
          <w:rFonts w:cs="Calibri"/>
        </w:rPr>
        <w:t>Both private and non-profits</w:t>
      </w:r>
      <w:r w:rsidR="004006FE" w:rsidRPr="004006FE">
        <w:rPr>
          <w:rFonts w:cs="Calibri"/>
        </w:rPr>
        <w:t xml:space="preserve"> </w:t>
      </w:r>
      <w:r w:rsidR="004006FE">
        <w:rPr>
          <w:rFonts w:cs="Calibri"/>
        </w:rPr>
        <w:t>developers</w:t>
      </w:r>
      <w:r w:rsidR="001F49B9">
        <w:rPr>
          <w:rFonts w:cs="Calibri"/>
        </w:rPr>
        <w:t xml:space="preserve"> have developed opportunities for people with middle incomes to purchase their own homes. Most of these approaches </w:t>
      </w:r>
      <w:r w:rsidR="004006FE">
        <w:rPr>
          <w:rFonts w:cs="Calibri"/>
        </w:rPr>
        <w:t>are geared toward helping first-</w:t>
      </w:r>
      <w:r w:rsidR="001F49B9">
        <w:rPr>
          <w:rFonts w:cs="Calibri"/>
        </w:rPr>
        <w:t xml:space="preserve">time buyers (renters) enter the homeownership market. These approaches often involve public-private partnerships, a mix of financing sources, and cooperation from host communities with regulatory incentives, and resale controls to preserve affordability to future buyers. New developments incorporating </w:t>
      </w:r>
      <w:proofErr w:type="gramStart"/>
      <w:r w:rsidR="001F49B9">
        <w:rPr>
          <w:rFonts w:cs="Calibri"/>
        </w:rPr>
        <w:t>middle income</w:t>
      </w:r>
      <w:proofErr w:type="gramEnd"/>
      <w:r w:rsidR="001F49B9">
        <w:rPr>
          <w:rFonts w:cs="Calibri"/>
        </w:rPr>
        <w:t xml:space="preserve"> units range from small cottage-style developments to condominium units. In some communities, there has been municipal and non-profit participation in </w:t>
      </w:r>
      <w:r w:rsidR="00E853AF">
        <w:rPr>
          <w:rFonts w:cs="Calibri"/>
        </w:rPr>
        <w:t xml:space="preserve">the </w:t>
      </w:r>
      <w:r w:rsidR="001F49B9">
        <w:rPr>
          <w:rFonts w:cs="Calibri"/>
        </w:rPr>
        <w:t>development</w:t>
      </w:r>
      <w:r w:rsidR="00E853AF">
        <w:rPr>
          <w:rFonts w:cs="Calibri"/>
        </w:rPr>
        <w:t xml:space="preserve"> of housing</w:t>
      </w:r>
      <w:r w:rsidR="001F49B9">
        <w:rPr>
          <w:rFonts w:cs="Calibri"/>
        </w:rPr>
        <w:t xml:space="preserve"> </w:t>
      </w:r>
      <w:proofErr w:type="gramStart"/>
      <w:r w:rsidR="00E853AF">
        <w:rPr>
          <w:rFonts w:cs="Calibri"/>
        </w:rPr>
        <w:t xml:space="preserve">through the </w:t>
      </w:r>
      <w:r w:rsidR="001F49B9">
        <w:rPr>
          <w:rFonts w:cs="Calibri"/>
        </w:rPr>
        <w:t>use of</w:t>
      </w:r>
      <w:proofErr w:type="gramEnd"/>
      <w:r w:rsidR="001F49B9">
        <w:rPr>
          <w:rFonts w:cs="Calibri"/>
        </w:rPr>
        <w:t xml:space="preserve"> </w:t>
      </w:r>
      <w:r w:rsidR="00E853AF">
        <w:rPr>
          <w:rFonts w:cs="Calibri"/>
        </w:rPr>
        <w:t xml:space="preserve">state and federal </w:t>
      </w:r>
      <w:r w:rsidR="001F49B9">
        <w:rPr>
          <w:rFonts w:cs="Calibri"/>
        </w:rPr>
        <w:t>funds</w:t>
      </w:r>
      <w:r w:rsidR="004006FE">
        <w:rPr>
          <w:rFonts w:cs="Calibri"/>
        </w:rPr>
        <w:t>,</w:t>
      </w:r>
      <w:r w:rsidR="001F49B9">
        <w:rPr>
          <w:rFonts w:cs="Calibri"/>
        </w:rPr>
        <w:t xml:space="preserve"> </w:t>
      </w:r>
      <w:r w:rsidR="00D1654C">
        <w:rPr>
          <w:rFonts w:cs="Calibri"/>
        </w:rPr>
        <w:t>i</w:t>
      </w:r>
      <w:r w:rsidR="00E853AF">
        <w:rPr>
          <w:rFonts w:cs="Calibri"/>
        </w:rPr>
        <w:t>n order to make homeownership opportunities available.</w:t>
      </w:r>
      <w:r w:rsidR="001F49B9">
        <w:rPr>
          <w:rFonts w:cs="Calibri"/>
        </w:rPr>
        <w:t xml:space="preserve"> </w:t>
      </w:r>
    </w:p>
    <w:p w:rsidR="00D1654C" w:rsidRPr="001E25DD" w:rsidRDefault="00D1654C" w:rsidP="00D1654C">
      <w:pPr>
        <w:pStyle w:val="Heading3"/>
        <w:spacing w:before="120"/>
        <w:ind w:left="-720"/>
        <w:rPr>
          <w:rFonts w:eastAsiaTheme="minorHAnsi"/>
        </w:rPr>
      </w:pPr>
      <w:r>
        <w:rPr>
          <w:rFonts w:eastAsiaTheme="minorHAnsi"/>
        </w:rPr>
        <w:t xml:space="preserve">Purchase of Existing Homes </w:t>
      </w:r>
    </w:p>
    <w:p w:rsidR="001F49B9" w:rsidRDefault="001F49B9" w:rsidP="001F49B9">
      <w:pPr>
        <w:autoSpaceDE w:val="0"/>
        <w:autoSpaceDN w:val="0"/>
        <w:adjustRightInd w:val="0"/>
        <w:spacing w:after="0"/>
        <w:ind w:left="-720" w:right="-720"/>
        <w:rPr>
          <w:rFonts w:cs="Calibri"/>
        </w:rPr>
      </w:pPr>
      <w:r>
        <w:rPr>
          <w:rFonts w:cs="Calibri"/>
        </w:rPr>
        <w:t xml:space="preserve">The existing housing inventory is a less expensive approach to providing units than subsidizing the construction of new homes. Lower prices in a slower economy can represent a buying opportunity for organizations that have the capacity to purchase, improve and resell the properties to qualifying buyers. </w:t>
      </w:r>
    </w:p>
    <w:p w:rsidR="001F49B9" w:rsidRDefault="001F49B9" w:rsidP="001F49B9">
      <w:pPr>
        <w:autoSpaceDE w:val="0"/>
        <w:autoSpaceDN w:val="0"/>
        <w:adjustRightInd w:val="0"/>
        <w:spacing w:after="0"/>
        <w:ind w:left="-720" w:right="-720"/>
        <w:rPr>
          <w:rFonts w:cs="Calibri"/>
        </w:rPr>
      </w:pPr>
    </w:p>
    <w:p w:rsidR="001F49B9" w:rsidRDefault="001F49B9" w:rsidP="001F49B9">
      <w:pPr>
        <w:autoSpaceDE w:val="0"/>
        <w:autoSpaceDN w:val="0"/>
        <w:adjustRightInd w:val="0"/>
        <w:spacing w:after="0"/>
        <w:ind w:left="-720" w:right="-720"/>
        <w:rPr>
          <w:rFonts w:cs="Calibri"/>
        </w:rPr>
      </w:pPr>
      <w:r>
        <w:rPr>
          <w:rFonts w:cs="Calibri"/>
        </w:rPr>
        <w:t xml:space="preserve">Qualified first time buyers may benefit from the lower interest and reduced down payment requirements of New Hampshire Housing Finance Authority (NHHFA) mortgage programs. Under these programs, purchases can include owner-occupancy of properties of up to four units. This might be advantageous in the older urban areas with this inventory. Typically, a portion of net rental income </w:t>
      </w:r>
      <w:proofErr w:type="gramStart"/>
      <w:r>
        <w:rPr>
          <w:rFonts w:cs="Calibri"/>
        </w:rPr>
        <w:t>is credited</w:t>
      </w:r>
      <w:proofErr w:type="gramEnd"/>
      <w:r>
        <w:rPr>
          <w:rFonts w:cs="Calibri"/>
        </w:rPr>
        <w:t xml:space="preserve"> to the buyer when underwriting a purchase mortgage, improving the buyer’s effective income to support the loan. </w:t>
      </w:r>
    </w:p>
    <w:p w:rsidR="001F49B9" w:rsidRDefault="001F49B9" w:rsidP="001F49B9">
      <w:pPr>
        <w:autoSpaceDE w:val="0"/>
        <w:autoSpaceDN w:val="0"/>
        <w:adjustRightInd w:val="0"/>
        <w:spacing w:after="0"/>
        <w:ind w:left="-720" w:right="-720"/>
        <w:rPr>
          <w:rFonts w:cs="Calibri"/>
        </w:rPr>
      </w:pPr>
    </w:p>
    <w:p w:rsidR="001F49B9" w:rsidRDefault="001F49B9" w:rsidP="001F49B9">
      <w:pPr>
        <w:autoSpaceDE w:val="0"/>
        <w:autoSpaceDN w:val="0"/>
        <w:adjustRightInd w:val="0"/>
        <w:spacing w:after="0"/>
        <w:ind w:left="-720" w:right="-720"/>
        <w:rPr>
          <w:rFonts w:cs="Calibri"/>
        </w:rPr>
      </w:pPr>
      <w:r>
        <w:rPr>
          <w:rFonts w:cs="Calibri"/>
        </w:rPr>
        <w:t xml:space="preserve">Programs that </w:t>
      </w:r>
      <w:proofErr w:type="gramStart"/>
      <w:r>
        <w:rPr>
          <w:rFonts w:cs="Calibri"/>
        </w:rPr>
        <w:t>have been developed</w:t>
      </w:r>
      <w:proofErr w:type="gramEnd"/>
      <w:r>
        <w:rPr>
          <w:rFonts w:cs="Calibri"/>
        </w:rPr>
        <w:t xml:space="preserve"> by various non-profit housing organizations, housing authorities, </w:t>
      </w:r>
      <w:r w:rsidR="003709D5">
        <w:rPr>
          <w:rFonts w:cs="Calibri"/>
        </w:rPr>
        <w:t xml:space="preserve">and </w:t>
      </w:r>
      <w:r>
        <w:rPr>
          <w:rFonts w:cs="Calibri"/>
        </w:rPr>
        <w:t>employers include buyer assistance including deferred second mortgage loans</w:t>
      </w:r>
      <w:r w:rsidR="003709D5">
        <w:rPr>
          <w:rFonts w:cs="Calibri"/>
        </w:rPr>
        <w:t xml:space="preserve"> for rehabilitation</w:t>
      </w:r>
      <w:r>
        <w:rPr>
          <w:rFonts w:cs="Calibri"/>
        </w:rPr>
        <w:t xml:space="preserve">, down payment and closing cost assistance, and lease/buy agreements. </w:t>
      </w:r>
    </w:p>
    <w:p w:rsidR="001F49B9" w:rsidRDefault="001F49B9" w:rsidP="001F49B9">
      <w:pPr>
        <w:ind w:left="-720" w:right="-720"/>
        <w:jc w:val="right"/>
        <w:rPr>
          <w:sz w:val="16"/>
          <w:szCs w:val="16"/>
        </w:rPr>
      </w:pPr>
      <w:r>
        <w:rPr>
          <w:sz w:val="16"/>
          <w:szCs w:val="16"/>
        </w:rPr>
        <w:t>[Source: SRPC Regional Housing Needs Assessment 2015]</w:t>
      </w:r>
    </w:p>
    <w:p w:rsidR="001F49B9" w:rsidRDefault="001F49B9" w:rsidP="00EF7328">
      <w:pPr>
        <w:pStyle w:val="Heading1"/>
        <w:ind w:left="-720"/>
      </w:pPr>
      <w:bookmarkStart w:id="44" w:name="_Toc427316529"/>
      <w:r>
        <w:lastRenderedPageBreak/>
        <w:t>Goals and Recommendations</w:t>
      </w:r>
      <w:bookmarkEnd w:id="44"/>
    </w:p>
    <w:p w:rsidR="001F49B9" w:rsidRDefault="001F49B9" w:rsidP="001F49B9">
      <w:pPr>
        <w:ind w:left="-720" w:right="-720"/>
        <w:rPr>
          <w:i/>
        </w:rPr>
      </w:pPr>
      <w:r>
        <w:t xml:space="preserve">This section outlines the goals and recommendations associated with the key conclusions of this chapter. They </w:t>
      </w:r>
      <w:proofErr w:type="gramStart"/>
      <w:r>
        <w:t>are intended</w:t>
      </w:r>
      <w:proofErr w:type="gramEnd"/>
      <w:r>
        <w:t xml:space="preserve"> to guide the Town’s housing and community development effor</w:t>
      </w:r>
      <w:r w:rsidR="00ED2943">
        <w:t>ts over the coming decade. The</w:t>
      </w:r>
      <w:r>
        <w:t xml:space="preserve"> goals and recommendations below </w:t>
      </w:r>
      <w:proofErr w:type="gramStart"/>
      <w:r>
        <w:t>are not prioritized</w:t>
      </w:r>
      <w:proofErr w:type="gramEnd"/>
      <w:r>
        <w:t xml:space="preserve">.  </w:t>
      </w:r>
    </w:p>
    <w:p w:rsidR="001F49B9" w:rsidRPr="000C459C" w:rsidRDefault="001F49B9" w:rsidP="000C459C">
      <w:pPr>
        <w:pStyle w:val="ListParagraph"/>
        <w:widowControl w:val="0"/>
        <w:numPr>
          <w:ilvl w:val="0"/>
          <w:numId w:val="40"/>
        </w:numPr>
        <w:suppressAutoHyphens/>
        <w:spacing w:after="0"/>
        <w:ind w:left="0" w:right="-720"/>
        <w:rPr>
          <w:rFonts w:eastAsia="Droid Sans Fallback" w:cs="Lohit Hindi"/>
          <w:i/>
          <w:caps/>
          <w:sz w:val="28"/>
          <w:szCs w:val="28"/>
          <w:lang w:eastAsia="zh-CN" w:bidi="hi-IN"/>
        </w:rPr>
      </w:pPr>
      <w:r w:rsidRPr="000C459C">
        <w:rPr>
          <w:rFonts w:eastAsia="Droid Sans Fallback" w:cs="Lohit Hindi"/>
          <w:i/>
          <w:caps/>
          <w:sz w:val="28"/>
          <w:szCs w:val="28"/>
          <w:lang w:eastAsia="zh-CN" w:bidi="hi-IN"/>
        </w:rPr>
        <w:t>GOAL: Integrate Smart Growth and Resilience principles into redevelopment AND new construction housing projects</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Ensure the resilienc</w:t>
      </w:r>
      <w:r w:rsidR="004F6C86" w:rsidRPr="000C459C">
        <w:rPr>
          <w:rFonts w:eastAsia="Droid Sans Fallback" w:cs="Lohit Hindi"/>
          <w:lang w:eastAsia="zh-CN" w:bidi="hi-IN"/>
        </w:rPr>
        <w:t>e</w:t>
      </w:r>
      <w:r w:rsidRPr="000C459C">
        <w:rPr>
          <w:rFonts w:eastAsia="Droid Sans Fallback" w:cs="Lohit Hindi"/>
          <w:lang w:eastAsia="zh-CN" w:bidi="hi-IN"/>
        </w:rPr>
        <w:t xml:space="preserve"> of new housing development in the context of extreme storm event frequency and coastal flooding, particularly in areas adjacent to the Lamprey River</w:t>
      </w:r>
      <w:r w:rsidR="003709D5">
        <w:rPr>
          <w:rFonts w:eastAsia="Droid Sans Fallback" w:cs="Lohit Hindi"/>
          <w:lang w:eastAsia="zh-CN" w:bidi="hi-IN"/>
        </w:rPr>
        <w:t>.</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Encourage sustainable and energy-efficient design of new housing units</w:t>
      </w:r>
      <w:r w:rsidR="003709D5">
        <w:rPr>
          <w:rFonts w:eastAsia="Droid Sans Fallback" w:cs="Lohit Hindi"/>
          <w:lang w:eastAsia="zh-CN" w:bidi="hi-IN"/>
        </w:rPr>
        <w:t>.</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Continue to promote mixed use</w:t>
      </w:r>
      <w:r w:rsidR="004F6C86" w:rsidRPr="000C459C">
        <w:rPr>
          <w:rFonts w:eastAsia="Droid Sans Fallback" w:cs="Lohit Hindi"/>
          <w:lang w:eastAsia="zh-CN" w:bidi="hi-IN"/>
        </w:rPr>
        <w:t>s</w:t>
      </w:r>
      <w:r w:rsidRPr="000C459C">
        <w:rPr>
          <w:rFonts w:eastAsia="Droid Sans Fallback" w:cs="Lohit Hindi"/>
          <w:lang w:eastAsia="zh-CN" w:bidi="hi-IN"/>
        </w:rPr>
        <w:t xml:space="preserve"> in the downtown as </w:t>
      </w:r>
      <w:r w:rsidR="00364C54" w:rsidRPr="000C459C">
        <w:rPr>
          <w:rFonts w:eastAsia="Droid Sans Fallback" w:cs="Lohit Hindi"/>
          <w:lang w:eastAsia="zh-CN" w:bidi="hi-IN"/>
        </w:rPr>
        <w:t>other</w:t>
      </w:r>
      <w:r w:rsidRPr="000C459C">
        <w:rPr>
          <w:rFonts w:eastAsia="Droid Sans Fallback" w:cs="Lohit Hindi"/>
          <w:lang w:eastAsia="zh-CN" w:bidi="hi-IN"/>
        </w:rPr>
        <w:t xml:space="preserve"> uses </w:t>
      </w:r>
      <w:proofErr w:type="gramStart"/>
      <w:r w:rsidRPr="000C459C">
        <w:rPr>
          <w:rFonts w:eastAsia="Droid Sans Fallback" w:cs="Lohit Hindi"/>
          <w:lang w:eastAsia="zh-CN" w:bidi="hi-IN"/>
        </w:rPr>
        <w:t>are phased out</w:t>
      </w:r>
      <w:proofErr w:type="gramEnd"/>
      <w:r w:rsidRPr="000C459C">
        <w:rPr>
          <w:rFonts w:eastAsia="Droid Sans Fallback" w:cs="Lohit Hindi"/>
          <w:lang w:eastAsia="zh-CN" w:bidi="hi-IN"/>
        </w:rPr>
        <w:t xml:space="preserve"> by current downtown redevelopment efforts</w:t>
      </w:r>
      <w:r w:rsidR="003709D5">
        <w:rPr>
          <w:rFonts w:eastAsia="Droid Sans Fallback" w:cs="Lohit Hindi"/>
          <w:lang w:eastAsia="zh-CN" w:bidi="hi-IN"/>
        </w:rPr>
        <w:t>.</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Encourage sustainable and energy-efficient retrofitting of existing housing units</w:t>
      </w:r>
      <w:r w:rsidR="003709D5">
        <w:rPr>
          <w:rFonts w:eastAsia="Droid Sans Fallback" w:cs="Lohit Hindi"/>
          <w:lang w:eastAsia="zh-CN" w:bidi="hi-IN"/>
        </w:rPr>
        <w:t>.</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 xml:space="preserve">Continue to encourage </w:t>
      </w:r>
      <w:r w:rsidR="004F6C86" w:rsidRPr="000C459C">
        <w:rPr>
          <w:rFonts w:eastAsia="Droid Sans Fallback" w:cs="Lohit Hindi"/>
          <w:lang w:eastAsia="zh-CN" w:bidi="hi-IN"/>
        </w:rPr>
        <w:t>re</w:t>
      </w:r>
      <w:r w:rsidRPr="000C459C">
        <w:rPr>
          <w:rFonts w:eastAsia="Droid Sans Fallback" w:cs="Lohit Hindi"/>
          <w:lang w:eastAsia="zh-CN" w:bidi="hi-IN"/>
        </w:rPr>
        <w:t>d</w:t>
      </w:r>
      <w:r w:rsidR="003709D5">
        <w:rPr>
          <w:rFonts w:eastAsia="Droid Sans Fallback" w:cs="Lohit Hindi"/>
          <w:lang w:eastAsia="zh-CN" w:bidi="hi-IN"/>
        </w:rPr>
        <w:t>evelopment in the downtown.</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proofErr w:type="gramStart"/>
      <w:r w:rsidRPr="000C459C">
        <w:rPr>
          <w:rFonts w:eastAsia="Droid Sans Fallback" w:cs="Lohit Hindi"/>
          <w:lang w:eastAsia="zh-CN" w:bidi="hi-IN"/>
        </w:rPr>
        <w:t>Plan for development in a manner that maximize</w:t>
      </w:r>
      <w:r w:rsidR="004F6C86" w:rsidRPr="000C459C">
        <w:rPr>
          <w:rFonts w:eastAsia="Droid Sans Fallback" w:cs="Lohit Hindi"/>
          <w:lang w:eastAsia="zh-CN" w:bidi="hi-IN"/>
        </w:rPr>
        <w:t>s</w:t>
      </w:r>
      <w:r w:rsidRPr="000C459C">
        <w:rPr>
          <w:rFonts w:eastAsia="Droid Sans Fallback" w:cs="Lohit Hindi"/>
          <w:lang w:eastAsia="zh-CN" w:bidi="hi-IN"/>
        </w:rPr>
        <w:t xml:space="preserve"> the use of existing infrastructure and reduces the need for new roads, services, and facilities</w:t>
      </w:r>
      <w:r w:rsidR="003709D5">
        <w:rPr>
          <w:rFonts w:eastAsia="Droid Sans Fallback" w:cs="Lohit Hindi"/>
          <w:lang w:eastAsia="zh-CN" w:bidi="hi-IN"/>
        </w:rPr>
        <w:t>.</w:t>
      </w:r>
      <w:proofErr w:type="gramEnd"/>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Promote linkages and integration between neighborhoods, community facilities, and places of employment</w:t>
      </w:r>
      <w:r w:rsidR="003709D5">
        <w:rPr>
          <w:rFonts w:eastAsia="Droid Sans Fallback" w:cs="Lohit Hindi"/>
          <w:lang w:eastAsia="zh-CN" w:bidi="hi-IN"/>
        </w:rPr>
        <w:t>.</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Encourage new housing development and redevelopment in downtown mixed-use areas that promote live, work, and play lifestyles</w:t>
      </w:r>
      <w:r w:rsidR="003709D5">
        <w:rPr>
          <w:rFonts w:eastAsia="Droid Sans Fallback" w:cs="Lohit Hindi"/>
          <w:lang w:eastAsia="zh-CN" w:bidi="hi-IN"/>
        </w:rPr>
        <w:t>.</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 xml:space="preserve">Encourage infill development within established neighborhoods that is compatible </w:t>
      </w:r>
      <w:r w:rsidR="004F6C86" w:rsidRPr="000C459C">
        <w:rPr>
          <w:rFonts w:eastAsia="Droid Sans Fallback" w:cs="Lohit Hindi"/>
          <w:lang w:eastAsia="zh-CN" w:bidi="hi-IN"/>
        </w:rPr>
        <w:t>with the existing density</w:t>
      </w:r>
      <w:r w:rsidR="003709D5">
        <w:rPr>
          <w:rFonts w:eastAsia="Droid Sans Fallback" w:cs="Lohit Hindi"/>
          <w:lang w:eastAsia="zh-CN" w:bidi="hi-IN"/>
        </w:rPr>
        <w:t xml:space="preserve">, </w:t>
      </w:r>
      <w:r w:rsidR="004F6C86" w:rsidRPr="000C459C">
        <w:rPr>
          <w:rFonts w:eastAsia="Droid Sans Fallback" w:cs="Lohit Hindi"/>
          <w:lang w:eastAsia="zh-CN" w:bidi="hi-IN"/>
        </w:rPr>
        <w:t>land uses</w:t>
      </w:r>
      <w:r w:rsidRPr="000C459C">
        <w:rPr>
          <w:rFonts w:eastAsia="Droid Sans Fallback" w:cs="Lohit Hindi"/>
          <w:lang w:eastAsia="zh-CN" w:bidi="hi-IN"/>
        </w:rPr>
        <w:t xml:space="preserve">, </w:t>
      </w:r>
      <w:r w:rsidR="003709D5">
        <w:rPr>
          <w:rFonts w:eastAsia="Droid Sans Fallback" w:cs="Lohit Hindi"/>
          <w:lang w:eastAsia="zh-CN" w:bidi="hi-IN"/>
        </w:rPr>
        <w:t>and</w:t>
      </w:r>
      <w:r w:rsidRPr="000C459C">
        <w:rPr>
          <w:rFonts w:eastAsia="Droid Sans Fallback" w:cs="Lohit Hindi"/>
          <w:lang w:eastAsia="zh-CN" w:bidi="hi-IN"/>
        </w:rPr>
        <w:t xml:space="preserve"> in scale with surrounding areas, and adequately supported by public utilities and the existing transportation system</w:t>
      </w:r>
      <w:r w:rsidR="003709D5">
        <w:rPr>
          <w:rFonts w:eastAsia="Droid Sans Fallback" w:cs="Lohit Hindi"/>
          <w:lang w:eastAsia="zh-CN" w:bidi="hi-IN"/>
        </w:rPr>
        <w:t>.</w:t>
      </w:r>
    </w:p>
    <w:p w:rsidR="001F49B9" w:rsidRPr="000C459C" w:rsidRDefault="001F49B9"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 xml:space="preserve">Plan for an anticipated ~190 </w:t>
      </w:r>
      <w:r w:rsidR="005E7D8B">
        <w:rPr>
          <w:rFonts w:eastAsia="Droid Sans Fallback" w:cs="Lohit Hindi"/>
          <w:lang w:eastAsia="zh-CN" w:bidi="hi-IN"/>
        </w:rPr>
        <w:t>additional</w:t>
      </w:r>
      <w:r w:rsidRPr="000C459C">
        <w:rPr>
          <w:rFonts w:eastAsia="Droid Sans Fallback" w:cs="Lohit Hindi"/>
          <w:lang w:eastAsia="zh-CN" w:bidi="hi-IN"/>
        </w:rPr>
        <w:t xml:space="preserve"> housing units </w:t>
      </w:r>
      <w:r w:rsidR="004F6C86" w:rsidRPr="000C459C">
        <w:rPr>
          <w:rFonts w:eastAsia="Droid Sans Fallback" w:cs="Lohit Hindi"/>
          <w:lang w:eastAsia="zh-CN" w:bidi="hi-IN"/>
        </w:rPr>
        <w:t>over the next</w:t>
      </w:r>
      <w:r w:rsidRPr="000C459C">
        <w:rPr>
          <w:rFonts w:eastAsia="Droid Sans Fallback" w:cs="Lohit Hindi"/>
          <w:lang w:eastAsia="zh-CN" w:bidi="hi-IN"/>
        </w:rPr>
        <w:t xml:space="preserve"> decade in a way that will not adversely </w:t>
      </w:r>
      <w:proofErr w:type="gramStart"/>
      <w:r w:rsidRPr="000C459C">
        <w:rPr>
          <w:rFonts w:eastAsia="Droid Sans Fallback" w:cs="Lohit Hindi"/>
          <w:lang w:eastAsia="zh-CN" w:bidi="hi-IN"/>
        </w:rPr>
        <w:t>impact</w:t>
      </w:r>
      <w:proofErr w:type="gramEnd"/>
      <w:r w:rsidRPr="000C459C">
        <w:rPr>
          <w:rFonts w:eastAsia="Droid Sans Fallback" w:cs="Lohit Hindi"/>
          <w:lang w:eastAsia="zh-CN" w:bidi="hi-IN"/>
        </w:rPr>
        <w:t xml:space="preserve"> the environmental and fiscal health of the community</w:t>
      </w:r>
      <w:r w:rsidR="003709D5">
        <w:rPr>
          <w:rFonts w:eastAsia="Droid Sans Fallback" w:cs="Lohit Hindi"/>
          <w:lang w:eastAsia="zh-CN" w:bidi="hi-IN"/>
        </w:rPr>
        <w:t>.</w:t>
      </w:r>
    </w:p>
    <w:p w:rsidR="000C459C" w:rsidRDefault="004F6C86" w:rsidP="000C459C">
      <w:pPr>
        <w:pStyle w:val="ListParagraph"/>
        <w:widowControl w:val="0"/>
        <w:numPr>
          <w:ilvl w:val="1"/>
          <w:numId w:val="40"/>
        </w:numPr>
        <w:suppressAutoHyphens/>
        <w:spacing w:after="0"/>
        <w:ind w:left="360" w:right="-720"/>
        <w:rPr>
          <w:rFonts w:eastAsia="Droid Sans Fallback" w:cs="Lohit Hindi"/>
          <w:lang w:eastAsia="zh-CN" w:bidi="hi-IN"/>
        </w:rPr>
      </w:pPr>
      <w:r w:rsidRPr="000C459C">
        <w:rPr>
          <w:rFonts w:eastAsia="Droid Sans Fallback" w:cs="Lohit Hindi"/>
          <w:lang w:eastAsia="zh-CN" w:bidi="hi-IN"/>
        </w:rPr>
        <w:t>Continue to e</w:t>
      </w:r>
      <w:r w:rsidR="001F49B9" w:rsidRPr="000C459C">
        <w:rPr>
          <w:rFonts w:eastAsia="Droid Sans Fallback" w:cs="Lohit Hindi"/>
          <w:lang w:eastAsia="zh-CN" w:bidi="hi-IN"/>
        </w:rPr>
        <w:t>nsure the environmental compatibility of new construction projects during site plan review and planning board approval process</w:t>
      </w:r>
      <w:r w:rsidR="003709D5">
        <w:rPr>
          <w:rFonts w:eastAsia="Droid Sans Fallback" w:cs="Lohit Hindi"/>
          <w:lang w:eastAsia="zh-CN" w:bidi="hi-IN"/>
        </w:rPr>
        <w:t>.</w:t>
      </w:r>
    </w:p>
    <w:p w:rsidR="009A6311" w:rsidRDefault="009A6311" w:rsidP="009A6311">
      <w:pPr>
        <w:pStyle w:val="ListParagraph"/>
        <w:widowControl w:val="0"/>
        <w:suppressAutoHyphens/>
        <w:spacing w:after="0"/>
        <w:ind w:left="360" w:right="-720"/>
        <w:rPr>
          <w:rFonts w:eastAsia="Droid Sans Fallback" w:cs="Lohit Hindi"/>
          <w:lang w:eastAsia="zh-CN" w:bidi="hi-IN"/>
        </w:rPr>
      </w:pPr>
    </w:p>
    <w:p w:rsidR="001F49B9" w:rsidRPr="000C459C" w:rsidRDefault="001F49B9" w:rsidP="000C459C">
      <w:pPr>
        <w:pStyle w:val="ListParagraph"/>
        <w:widowControl w:val="0"/>
        <w:numPr>
          <w:ilvl w:val="0"/>
          <w:numId w:val="40"/>
        </w:numPr>
        <w:suppressAutoHyphens/>
        <w:spacing w:after="0"/>
        <w:ind w:left="0" w:right="-720"/>
        <w:rPr>
          <w:rFonts w:eastAsia="Droid Sans Fallback" w:cs="Lohit Hindi"/>
          <w:lang w:eastAsia="zh-CN" w:bidi="hi-IN"/>
        </w:rPr>
      </w:pPr>
      <w:r w:rsidRPr="000C459C">
        <w:rPr>
          <w:rFonts w:eastAsia="Droid Sans Fallback" w:cs="Lohit Hindi"/>
          <w:i/>
          <w:caps/>
          <w:sz w:val="28"/>
          <w:szCs w:val="28"/>
          <w:lang w:eastAsia="zh-CN" w:bidi="hi-IN"/>
        </w:rPr>
        <w:t xml:space="preserve">GOAL: Create and maintain housing </w:t>
      </w:r>
      <w:r w:rsidR="009D429E" w:rsidRPr="000C459C">
        <w:rPr>
          <w:rFonts w:eastAsia="Droid Sans Fallback" w:cs="Lohit Hindi"/>
          <w:i/>
          <w:caps/>
          <w:sz w:val="28"/>
          <w:szCs w:val="28"/>
          <w:lang w:eastAsia="zh-CN" w:bidi="hi-IN"/>
        </w:rPr>
        <w:t xml:space="preserve">STOCK </w:t>
      </w:r>
      <w:r w:rsidRPr="000C459C">
        <w:rPr>
          <w:rFonts w:eastAsia="Droid Sans Fallback" w:cs="Lohit Hindi"/>
          <w:i/>
          <w:caps/>
          <w:sz w:val="28"/>
          <w:szCs w:val="28"/>
          <w:lang w:eastAsia="zh-CN" w:bidi="hi-IN"/>
        </w:rPr>
        <w:t xml:space="preserve">THAT ALLOWS FOR ‘AGING-IN-PLACE’ </w:t>
      </w:r>
      <w:r w:rsidR="005E7D8B">
        <w:rPr>
          <w:rFonts w:eastAsia="Droid Sans Fallback" w:cs="Lohit Hindi"/>
          <w:i/>
          <w:caps/>
          <w:sz w:val="28"/>
          <w:szCs w:val="28"/>
          <w:lang w:eastAsia="zh-CN" w:bidi="hi-IN"/>
        </w:rPr>
        <w:t xml:space="preserve">AND </w:t>
      </w:r>
      <w:r w:rsidRPr="000C459C">
        <w:rPr>
          <w:rFonts w:eastAsia="Droid Sans Fallback" w:cs="Lohit Hindi"/>
          <w:i/>
          <w:caps/>
          <w:sz w:val="28"/>
          <w:szCs w:val="28"/>
          <w:lang w:eastAsia="zh-CN" w:bidi="hi-IN"/>
        </w:rPr>
        <w:t>‘AGING-IN-CoMMUNITY’</w:t>
      </w:r>
      <w:r w:rsidR="005E7D8B">
        <w:rPr>
          <w:rFonts w:eastAsia="Droid Sans Fallback" w:cs="Lohit Hindi"/>
          <w:i/>
          <w:caps/>
          <w:sz w:val="28"/>
          <w:szCs w:val="28"/>
          <w:lang w:eastAsia="zh-CN" w:bidi="hi-IN"/>
        </w:rPr>
        <w:t xml:space="preserve"> </w:t>
      </w:r>
    </w:p>
    <w:p w:rsidR="000C459C" w:rsidRDefault="00D97C8D" w:rsidP="000C459C">
      <w:pPr>
        <w:widowControl w:val="0"/>
        <w:numPr>
          <w:ilvl w:val="1"/>
          <w:numId w:val="40"/>
        </w:numPr>
        <w:suppressAutoHyphens/>
        <w:spacing w:after="0"/>
        <w:ind w:left="360" w:right="-720"/>
        <w:contextualSpacing/>
        <w:rPr>
          <w:rFonts w:eastAsia="Droid Sans Fallback" w:cs="Lohit Hindi"/>
          <w:lang w:eastAsia="zh-CN" w:bidi="hi-IN"/>
        </w:rPr>
      </w:pPr>
      <w:r>
        <w:rPr>
          <w:rFonts w:eastAsia="Droid Sans Fallback" w:cs="Lohit Hindi"/>
          <w:lang w:eastAsia="zh-CN" w:bidi="hi-IN"/>
        </w:rPr>
        <w:t>Consider</w:t>
      </w:r>
      <w:r w:rsidR="001F49B9">
        <w:rPr>
          <w:rFonts w:eastAsia="Droid Sans Fallback" w:cs="Lohit Hindi"/>
          <w:lang w:eastAsia="zh-CN" w:bidi="hi-IN"/>
        </w:rPr>
        <w:t xml:space="preserve"> the services needed to allow residents to remain in their homes </w:t>
      </w:r>
      <w:r w:rsidR="00364C54">
        <w:rPr>
          <w:rFonts w:eastAsia="Droid Sans Fallback" w:cs="Lohit Hindi"/>
          <w:lang w:eastAsia="zh-CN" w:bidi="hi-IN"/>
        </w:rPr>
        <w:t xml:space="preserve">as </w:t>
      </w:r>
      <w:r w:rsidR="003709D5">
        <w:rPr>
          <w:rFonts w:eastAsia="Droid Sans Fallback" w:cs="Lohit Hindi"/>
          <w:lang w:eastAsia="zh-CN" w:bidi="hi-IN"/>
        </w:rPr>
        <w:t xml:space="preserve">the </w:t>
      </w:r>
      <w:r w:rsidR="00364C54">
        <w:rPr>
          <w:rFonts w:eastAsia="Droid Sans Fallback" w:cs="Lohit Hindi"/>
          <w:lang w:eastAsia="zh-CN" w:bidi="hi-IN"/>
        </w:rPr>
        <w:t>population ages</w:t>
      </w:r>
      <w:r w:rsidR="003709D5">
        <w:rPr>
          <w:rFonts w:eastAsia="Droid Sans Fallback" w:cs="Lohit Hindi"/>
          <w:lang w:eastAsia="zh-CN" w:bidi="hi-IN"/>
        </w:rPr>
        <w:t>.</w:t>
      </w:r>
    </w:p>
    <w:p w:rsidR="000C459C" w:rsidRDefault="005C4B9A" w:rsidP="000C459C">
      <w:pPr>
        <w:widowControl w:val="0"/>
        <w:numPr>
          <w:ilvl w:val="1"/>
          <w:numId w:val="40"/>
        </w:numPr>
        <w:suppressAutoHyphens/>
        <w:spacing w:after="0"/>
        <w:ind w:left="360" w:right="-720"/>
        <w:contextualSpacing/>
        <w:rPr>
          <w:rFonts w:eastAsia="Droid Sans Fallback" w:cs="Lohit Hindi"/>
          <w:lang w:eastAsia="zh-CN" w:bidi="hi-IN"/>
        </w:rPr>
      </w:pPr>
      <w:r w:rsidRPr="000C459C">
        <w:rPr>
          <w:rFonts w:eastAsia="Droid Sans Fallback" w:cs="Lohit Hindi"/>
          <w:lang w:eastAsia="zh-CN" w:bidi="hi-IN"/>
        </w:rPr>
        <w:t>Support the d</w:t>
      </w:r>
      <w:r w:rsidR="001F49B9" w:rsidRPr="000C459C">
        <w:rPr>
          <w:rFonts w:eastAsia="Droid Sans Fallback" w:cs="Lohit Hindi"/>
          <w:lang w:eastAsia="zh-CN" w:bidi="hi-IN"/>
        </w:rPr>
        <w:t>evelop</w:t>
      </w:r>
      <w:r w:rsidRPr="000C459C">
        <w:rPr>
          <w:rFonts w:eastAsia="Droid Sans Fallback" w:cs="Lohit Hindi"/>
          <w:lang w:eastAsia="zh-CN" w:bidi="hi-IN"/>
        </w:rPr>
        <w:t>ment of</w:t>
      </w:r>
      <w:r w:rsidR="001F49B9" w:rsidRPr="000C459C">
        <w:rPr>
          <w:rFonts w:eastAsia="Droid Sans Fallback" w:cs="Lohit Hindi"/>
          <w:lang w:eastAsia="zh-CN" w:bidi="hi-IN"/>
        </w:rPr>
        <w:t xml:space="preserve"> a live, play, and stay </w:t>
      </w:r>
      <w:r w:rsidRPr="000C459C">
        <w:rPr>
          <w:rFonts w:eastAsia="Droid Sans Fallback" w:cs="Lohit Hindi"/>
          <w:lang w:eastAsia="zh-CN" w:bidi="hi-IN"/>
        </w:rPr>
        <w:t>community</w:t>
      </w:r>
      <w:r w:rsidR="001F49B9" w:rsidRPr="000C459C">
        <w:rPr>
          <w:rFonts w:eastAsia="Droid Sans Fallback" w:cs="Lohit Hindi"/>
          <w:lang w:eastAsia="zh-CN" w:bidi="hi-IN"/>
        </w:rPr>
        <w:t xml:space="preserve"> focused on resident retention that </w:t>
      </w:r>
      <w:proofErr w:type="gramStart"/>
      <w:r w:rsidR="001F49B9" w:rsidRPr="000C459C">
        <w:rPr>
          <w:rFonts w:eastAsia="Droid Sans Fallback" w:cs="Lohit Hindi"/>
          <w:lang w:eastAsia="zh-CN" w:bidi="hi-IN"/>
        </w:rPr>
        <w:t>incl</w:t>
      </w:r>
      <w:r w:rsidR="003709D5">
        <w:rPr>
          <w:rFonts w:eastAsia="Droid Sans Fallback" w:cs="Lohit Hindi"/>
          <w:lang w:eastAsia="zh-CN" w:bidi="hi-IN"/>
        </w:rPr>
        <w:t>udes:</w:t>
      </w:r>
      <w:proofErr w:type="gramEnd"/>
      <w:r w:rsidR="003709D5">
        <w:rPr>
          <w:rFonts w:eastAsia="Droid Sans Fallback" w:cs="Lohit Hindi"/>
          <w:lang w:eastAsia="zh-CN" w:bidi="hi-IN"/>
        </w:rPr>
        <w:t xml:space="preserve"> a periodic assessment of </w:t>
      </w:r>
      <w:r w:rsidR="001F49B9" w:rsidRPr="000C459C">
        <w:rPr>
          <w:rFonts w:eastAsia="Droid Sans Fallback" w:cs="Lohit Hindi"/>
          <w:lang w:eastAsia="zh-CN" w:bidi="hi-IN"/>
        </w:rPr>
        <w:t>resident needs, more neighborhood-based services, expanded transportation services, and increased housing options</w:t>
      </w:r>
      <w:r w:rsidR="003709D5">
        <w:rPr>
          <w:rFonts w:eastAsia="Droid Sans Fallback" w:cs="Lohit Hindi"/>
          <w:lang w:eastAsia="zh-CN" w:bidi="hi-IN"/>
        </w:rPr>
        <w:t>.</w:t>
      </w:r>
    </w:p>
    <w:p w:rsidR="001F49B9" w:rsidRPr="000C459C" w:rsidRDefault="001F49B9" w:rsidP="000C459C">
      <w:pPr>
        <w:widowControl w:val="0"/>
        <w:numPr>
          <w:ilvl w:val="1"/>
          <w:numId w:val="40"/>
        </w:numPr>
        <w:suppressAutoHyphens/>
        <w:spacing w:after="0"/>
        <w:ind w:left="360" w:right="-720"/>
        <w:contextualSpacing/>
        <w:rPr>
          <w:rFonts w:eastAsia="Droid Sans Fallback" w:cs="Lohit Hindi"/>
          <w:lang w:eastAsia="zh-CN" w:bidi="hi-IN"/>
        </w:rPr>
      </w:pPr>
      <w:r w:rsidRPr="000C459C">
        <w:rPr>
          <w:rFonts w:eastAsia="Droid Sans Fallback" w:cs="Lohit Hindi"/>
          <w:lang w:eastAsia="zh-CN" w:bidi="hi-IN"/>
        </w:rPr>
        <w:t xml:space="preserve">Actively encourage senior housing development on lands most suitable, such as locations within walking distance to the downtown, and </w:t>
      </w:r>
      <w:r w:rsidR="00364C54" w:rsidRPr="000C459C">
        <w:rPr>
          <w:rFonts w:eastAsia="Droid Sans Fallback" w:cs="Lohit Hindi"/>
          <w:lang w:eastAsia="zh-CN" w:bidi="hi-IN"/>
        </w:rPr>
        <w:t>locations</w:t>
      </w:r>
      <w:r w:rsidRPr="000C459C">
        <w:rPr>
          <w:rFonts w:eastAsia="Droid Sans Fallback" w:cs="Lohit Hindi"/>
          <w:lang w:eastAsia="zh-CN" w:bidi="hi-IN"/>
        </w:rPr>
        <w:t xml:space="preserve"> served by existing infrastructure</w:t>
      </w:r>
      <w:r w:rsidR="00B42494" w:rsidRPr="000C459C">
        <w:rPr>
          <w:rFonts w:eastAsia="Droid Sans Fallback" w:cs="Lohit Hindi"/>
          <w:lang w:eastAsia="zh-CN" w:bidi="hi-IN"/>
        </w:rPr>
        <w:t xml:space="preserve">, </w:t>
      </w:r>
      <w:r w:rsidRPr="000C459C">
        <w:rPr>
          <w:rFonts w:eastAsia="Droid Sans Fallback" w:cs="Lohit Hindi"/>
          <w:lang w:eastAsia="zh-CN" w:bidi="hi-IN"/>
        </w:rPr>
        <w:t>services</w:t>
      </w:r>
      <w:r w:rsidR="00B42494" w:rsidRPr="000C459C">
        <w:rPr>
          <w:rFonts w:eastAsia="Droid Sans Fallback" w:cs="Lohit Hindi"/>
          <w:lang w:eastAsia="zh-CN" w:bidi="hi-IN"/>
        </w:rPr>
        <w:t>, and amenities</w:t>
      </w:r>
      <w:r w:rsidR="003709D5">
        <w:rPr>
          <w:rFonts w:eastAsia="Droid Sans Fallback" w:cs="Lohit Hindi"/>
          <w:lang w:eastAsia="zh-CN" w:bidi="hi-IN"/>
        </w:rPr>
        <w:t>.</w:t>
      </w:r>
    </w:p>
    <w:p w:rsidR="001F49B9" w:rsidRDefault="001F49B9" w:rsidP="000C459C">
      <w:pPr>
        <w:widowControl w:val="0"/>
        <w:numPr>
          <w:ilvl w:val="1"/>
          <w:numId w:val="40"/>
        </w:numPr>
        <w:suppressAutoHyphens/>
        <w:spacing w:after="0"/>
        <w:ind w:left="360" w:right="-720"/>
        <w:contextualSpacing/>
        <w:rPr>
          <w:rFonts w:eastAsia="Droid Sans Fallback" w:cs="Lohit Hindi"/>
          <w:lang w:eastAsia="zh-CN" w:bidi="hi-IN"/>
        </w:rPr>
      </w:pPr>
      <w:r>
        <w:rPr>
          <w:rFonts w:eastAsia="Droid Sans Fallback" w:cs="Lohit Hindi"/>
          <w:lang w:eastAsia="zh-CN" w:bidi="hi-IN"/>
        </w:rPr>
        <w:t xml:space="preserve">Explore zoning changes that allow for </w:t>
      </w:r>
      <w:r w:rsidR="00364C54">
        <w:rPr>
          <w:rFonts w:eastAsia="Droid Sans Fallback" w:cs="Lohit Hindi"/>
          <w:lang w:eastAsia="zh-CN" w:bidi="hi-IN"/>
        </w:rPr>
        <w:t>compatible</w:t>
      </w:r>
      <w:r>
        <w:rPr>
          <w:rFonts w:eastAsia="Droid Sans Fallback" w:cs="Lohit Hindi"/>
          <w:lang w:eastAsia="zh-CN" w:bidi="hi-IN"/>
        </w:rPr>
        <w:t xml:space="preserve"> density and size for the</w:t>
      </w:r>
      <w:r w:rsidR="00B42494">
        <w:rPr>
          <w:rFonts w:eastAsia="Droid Sans Fallback" w:cs="Lohit Hindi"/>
          <w:lang w:eastAsia="zh-CN" w:bidi="hi-IN"/>
        </w:rPr>
        <w:t xml:space="preserve"> development of assisted living, housing ‘co-ops’, </w:t>
      </w:r>
      <w:r>
        <w:rPr>
          <w:rFonts w:eastAsia="Droid Sans Fallback" w:cs="Lohit Hindi"/>
          <w:lang w:eastAsia="zh-CN" w:bidi="hi-IN"/>
        </w:rPr>
        <w:t xml:space="preserve">and </w:t>
      </w:r>
      <w:r w:rsidR="00364C54">
        <w:rPr>
          <w:rFonts w:eastAsia="Droid Sans Fallback" w:cs="Lohit Hindi"/>
          <w:lang w:eastAsia="zh-CN" w:bidi="hi-IN"/>
        </w:rPr>
        <w:t>c</w:t>
      </w:r>
      <w:r>
        <w:rPr>
          <w:rFonts w:eastAsia="Droid Sans Fallback" w:cs="Lohit Hindi"/>
          <w:lang w:eastAsia="zh-CN" w:bidi="hi-IN"/>
        </w:rPr>
        <w:t xml:space="preserve">ontinuing </w:t>
      </w:r>
      <w:r w:rsidR="00364C54">
        <w:rPr>
          <w:rFonts w:eastAsia="Droid Sans Fallback" w:cs="Lohit Hindi"/>
          <w:lang w:eastAsia="zh-CN" w:bidi="hi-IN"/>
        </w:rPr>
        <w:t>c</w:t>
      </w:r>
      <w:r>
        <w:rPr>
          <w:rFonts w:eastAsia="Droid Sans Fallback" w:cs="Lohit Hindi"/>
          <w:lang w:eastAsia="zh-CN" w:bidi="hi-IN"/>
        </w:rPr>
        <w:t xml:space="preserve">are </w:t>
      </w:r>
      <w:r w:rsidR="00364C54">
        <w:rPr>
          <w:rFonts w:eastAsia="Droid Sans Fallback" w:cs="Lohit Hindi"/>
          <w:lang w:eastAsia="zh-CN" w:bidi="hi-IN"/>
        </w:rPr>
        <w:t>r</w:t>
      </w:r>
      <w:r>
        <w:rPr>
          <w:rFonts w:eastAsia="Droid Sans Fallback" w:cs="Lohit Hindi"/>
          <w:lang w:eastAsia="zh-CN" w:bidi="hi-IN"/>
        </w:rPr>
        <w:t xml:space="preserve">etirement </w:t>
      </w:r>
      <w:r w:rsidR="00364C54">
        <w:rPr>
          <w:rFonts w:eastAsia="Droid Sans Fallback" w:cs="Lohit Hindi"/>
          <w:lang w:eastAsia="zh-CN" w:bidi="hi-IN"/>
        </w:rPr>
        <w:t>c</w:t>
      </w:r>
      <w:r>
        <w:rPr>
          <w:rFonts w:eastAsia="Droid Sans Fallback" w:cs="Lohit Hindi"/>
          <w:lang w:eastAsia="zh-CN" w:bidi="hi-IN"/>
        </w:rPr>
        <w:t>ommunities</w:t>
      </w:r>
      <w:r w:rsidR="00B42494">
        <w:rPr>
          <w:rFonts w:eastAsia="Droid Sans Fallback" w:cs="Lohit Hindi"/>
          <w:lang w:eastAsia="zh-CN" w:bidi="hi-IN"/>
        </w:rPr>
        <w:t xml:space="preserve"> t</w:t>
      </w:r>
      <w:r w:rsidR="00364C54">
        <w:rPr>
          <w:rFonts w:eastAsia="Droid Sans Fallback" w:cs="Lohit Hindi"/>
          <w:lang w:eastAsia="zh-CN" w:bidi="hi-IN"/>
        </w:rPr>
        <w:t>o</w:t>
      </w:r>
      <w:r w:rsidR="00B42494">
        <w:rPr>
          <w:rFonts w:eastAsia="Droid Sans Fallback" w:cs="Lohit Hindi"/>
          <w:lang w:eastAsia="zh-CN" w:bidi="hi-IN"/>
        </w:rPr>
        <w:t xml:space="preserve"> facilitate transitional housing opportunities in multi-generational neighborhoods</w:t>
      </w:r>
      <w:r w:rsidR="003709D5">
        <w:rPr>
          <w:rFonts w:eastAsia="Droid Sans Fallback" w:cs="Lohit Hindi"/>
          <w:lang w:eastAsia="zh-CN" w:bidi="hi-IN"/>
        </w:rPr>
        <w:t>.</w:t>
      </w:r>
    </w:p>
    <w:p w:rsidR="00A91EF6" w:rsidRDefault="00A91EF6">
      <w:pPr>
        <w:jc w:val="left"/>
        <w:rPr>
          <w:rFonts w:eastAsia="Droid Sans Fallback" w:cs="Lohit Hindi"/>
          <w:i/>
          <w:caps/>
          <w:color w:val="FF0000"/>
          <w:sz w:val="28"/>
          <w:szCs w:val="28"/>
          <w:lang w:eastAsia="zh-CN" w:bidi="hi-IN"/>
        </w:rPr>
      </w:pPr>
      <w:r>
        <w:rPr>
          <w:rFonts w:eastAsia="Droid Sans Fallback" w:cs="Lohit Hindi"/>
          <w:i/>
          <w:caps/>
          <w:color w:val="FF0000"/>
          <w:sz w:val="28"/>
          <w:szCs w:val="28"/>
          <w:lang w:eastAsia="zh-CN" w:bidi="hi-IN"/>
        </w:rPr>
        <w:br w:type="page"/>
      </w:r>
    </w:p>
    <w:p w:rsidR="001F49B9" w:rsidRPr="000C459C" w:rsidRDefault="001F49B9" w:rsidP="000C459C">
      <w:pPr>
        <w:pStyle w:val="ListParagraph"/>
        <w:widowControl w:val="0"/>
        <w:numPr>
          <w:ilvl w:val="0"/>
          <w:numId w:val="40"/>
        </w:numPr>
        <w:tabs>
          <w:tab w:val="left" w:pos="709"/>
        </w:tabs>
        <w:suppressAutoHyphens/>
        <w:spacing w:after="0"/>
        <w:ind w:left="0" w:right="-720"/>
        <w:rPr>
          <w:rFonts w:eastAsia="Droid Sans Fallback" w:cs="Lohit Hindi"/>
          <w:i/>
          <w:sz w:val="28"/>
          <w:szCs w:val="28"/>
          <w:lang w:eastAsia="zh-CN" w:bidi="hi-IN"/>
        </w:rPr>
      </w:pPr>
      <w:r w:rsidRPr="000C459C">
        <w:rPr>
          <w:rFonts w:eastAsia="Droid Sans Fallback" w:cs="Lohit Hindi"/>
          <w:i/>
          <w:sz w:val="28"/>
          <w:szCs w:val="28"/>
          <w:lang w:eastAsia="zh-CN" w:bidi="hi-IN"/>
        </w:rPr>
        <w:lastRenderedPageBreak/>
        <w:t xml:space="preserve">GOAL: </w:t>
      </w:r>
      <w:r w:rsidR="00DF41B2">
        <w:rPr>
          <w:rFonts w:eastAsia="Droid Sans Fallback" w:cs="Lohit Hindi"/>
          <w:i/>
          <w:sz w:val="28"/>
          <w:szCs w:val="28"/>
          <w:lang w:eastAsia="zh-CN" w:bidi="hi-IN"/>
        </w:rPr>
        <w:t>SUPPORT</w:t>
      </w:r>
      <w:r w:rsidRPr="000C459C">
        <w:rPr>
          <w:rFonts w:eastAsia="Droid Sans Fallback" w:cs="Lohit Hindi"/>
          <w:i/>
          <w:sz w:val="28"/>
          <w:szCs w:val="28"/>
          <w:lang w:eastAsia="zh-CN" w:bidi="hi-IN"/>
        </w:rPr>
        <w:t xml:space="preserve"> PROPERTY TAX POLICIES THAT ALLOW INDIVIDUALS TO REMAIN IN THE COMMUNITY</w:t>
      </w:r>
    </w:p>
    <w:p w:rsidR="001F49B9" w:rsidRDefault="005C4B9A"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 xml:space="preserve">Educate residents about </w:t>
      </w:r>
      <w:r w:rsidR="001F49B9">
        <w:rPr>
          <w:rFonts w:eastAsia="Droid Sans Fallback" w:cs="Lohit Hindi"/>
          <w:lang w:eastAsia="zh-CN" w:bidi="hi-IN"/>
        </w:rPr>
        <w:t>elderly tax exemption</w:t>
      </w:r>
      <w:r>
        <w:rPr>
          <w:rFonts w:eastAsia="Droid Sans Fallback" w:cs="Lohit Hindi"/>
          <w:lang w:eastAsia="zh-CN" w:bidi="hi-IN"/>
        </w:rPr>
        <w:t>s</w:t>
      </w:r>
      <w:r w:rsidR="00DF41B2">
        <w:rPr>
          <w:rFonts w:eastAsia="Droid Sans Fallback" w:cs="Lohit Hindi"/>
          <w:lang w:eastAsia="zh-CN" w:bidi="hi-IN"/>
        </w:rPr>
        <w:t xml:space="preserve"> under RSA 72:</w:t>
      </w:r>
      <w:r w:rsidR="001F49B9">
        <w:rPr>
          <w:rFonts w:eastAsia="Droid Sans Fallback" w:cs="Lohit Hindi"/>
          <w:lang w:eastAsia="zh-CN" w:bidi="hi-IN"/>
        </w:rPr>
        <w:t xml:space="preserve">39 as </w:t>
      </w:r>
      <w:r>
        <w:rPr>
          <w:rFonts w:eastAsia="Droid Sans Fallback" w:cs="Lohit Hindi"/>
          <w:lang w:eastAsia="zh-CN" w:bidi="hi-IN"/>
        </w:rPr>
        <w:t xml:space="preserve">a </w:t>
      </w:r>
      <w:r w:rsidR="001F49B9">
        <w:rPr>
          <w:rFonts w:eastAsia="Droid Sans Fallback" w:cs="Lohit Hindi"/>
          <w:lang w:eastAsia="zh-CN" w:bidi="hi-IN"/>
        </w:rPr>
        <w:t>method to ‘age-in-place’ or ‘age-in-community’</w:t>
      </w:r>
      <w:r w:rsidR="003709D5">
        <w:rPr>
          <w:rFonts w:eastAsia="Droid Sans Fallback" w:cs="Lohit Hindi"/>
          <w:lang w:eastAsia="zh-CN" w:bidi="hi-IN"/>
        </w:rPr>
        <w:t>.</w:t>
      </w:r>
    </w:p>
    <w:p w:rsidR="001F49B9" w:rsidRDefault="001F49B9"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 xml:space="preserve">Review existing local property tax exemption standards for senior homeowners and evaluate impact on </w:t>
      </w:r>
      <w:r w:rsidR="00EB27F3">
        <w:rPr>
          <w:rFonts w:eastAsia="Droid Sans Fallback" w:cs="Lohit Hindi"/>
          <w:lang w:eastAsia="zh-CN" w:bidi="hi-IN"/>
        </w:rPr>
        <w:t>their</w:t>
      </w:r>
      <w:r>
        <w:rPr>
          <w:rFonts w:eastAsia="Droid Sans Fallback" w:cs="Lohit Hindi"/>
          <w:lang w:eastAsia="zh-CN" w:bidi="hi-IN"/>
        </w:rPr>
        <w:t xml:space="preserve"> ability to remain in Newmarket</w:t>
      </w:r>
      <w:r w:rsidR="003709D5">
        <w:rPr>
          <w:rFonts w:eastAsia="Droid Sans Fallback" w:cs="Lohit Hindi"/>
          <w:lang w:eastAsia="zh-CN" w:bidi="hi-IN"/>
        </w:rPr>
        <w:t>.</w:t>
      </w:r>
    </w:p>
    <w:p w:rsidR="001F49B9" w:rsidRDefault="001F49B9"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 xml:space="preserve">Market and publicize property tax exemption programs for home improvements intended to improve </w:t>
      </w:r>
      <w:r w:rsidR="003709D5">
        <w:rPr>
          <w:rFonts w:eastAsia="Droid Sans Fallback" w:cs="Lohit Hindi"/>
          <w:lang w:eastAsia="zh-CN" w:bidi="hi-IN"/>
        </w:rPr>
        <w:t>accessibility for persons with disabilities.</w:t>
      </w:r>
    </w:p>
    <w:p w:rsidR="005C4B9A" w:rsidRDefault="005C4B9A"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Continue to support the use of RSA 79-E (Community Revitalization Tax Relief Incentive) where and when appropriate</w:t>
      </w:r>
      <w:r w:rsidR="003709D5">
        <w:rPr>
          <w:rFonts w:eastAsia="Droid Sans Fallback" w:cs="Lohit Hindi"/>
          <w:lang w:eastAsia="zh-CN" w:bidi="hi-IN"/>
        </w:rPr>
        <w:t>.</w:t>
      </w:r>
    </w:p>
    <w:p w:rsidR="001F49B9" w:rsidRDefault="001F49B9" w:rsidP="000C459C">
      <w:pPr>
        <w:widowControl w:val="0"/>
        <w:tabs>
          <w:tab w:val="left" w:pos="709"/>
        </w:tabs>
        <w:suppressAutoHyphens/>
        <w:spacing w:after="0"/>
        <w:ind w:right="-720"/>
        <w:contextualSpacing/>
        <w:rPr>
          <w:rFonts w:eastAsia="Droid Sans Fallback" w:cs="Lohit Hindi"/>
          <w:i/>
          <w:color w:val="FF0000"/>
          <w:sz w:val="28"/>
          <w:szCs w:val="28"/>
          <w:lang w:eastAsia="zh-CN" w:bidi="hi-IN"/>
        </w:rPr>
      </w:pPr>
    </w:p>
    <w:p w:rsidR="001F49B9" w:rsidRPr="000C459C" w:rsidRDefault="001F49B9" w:rsidP="000C459C">
      <w:pPr>
        <w:pStyle w:val="ListParagraph"/>
        <w:widowControl w:val="0"/>
        <w:numPr>
          <w:ilvl w:val="0"/>
          <w:numId w:val="40"/>
        </w:numPr>
        <w:tabs>
          <w:tab w:val="left" w:pos="709"/>
        </w:tabs>
        <w:suppressAutoHyphens/>
        <w:spacing w:after="0"/>
        <w:ind w:left="0" w:right="-720"/>
        <w:rPr>
          <w:rFonts w:eastAsia="Droid Sans Fallback" w:cs="Lohit Hindi"/>
          <w:i/>
          <w:sz w:val="28"/>
          <w:szCs w:val="28"/>
          <w:lang w:eastAsia="zh-CN" w:bidi="hi-IN"/>
        </w:rPr>
      </w:pPr>
      <w:r w:rsidRPr="000C459C">
        <w:rPr>
          <w:rFonts w:eastAsia="Droid Sans Fallback" w:cs="Lohit Hindi"/>
          <w:i/>
          <w:sz w:val="28"/>
          <w:szCs w:val="28"/>
          <w:lang w:eastAsia="zh-CN" w:bidi="hi-IN"/>
        </w:rPr>
        <w:t>GOAL: PROMOTE NEW CONSTRUCTION AND REDEVELOPMENT EFFORTS THAT ADHERE TO PRINCIPLES OF UNIVERSAL DESIGN</w:t>
      </w:r>
    </w:p>
    <w:p w:rsidR="00EB27F3" w:rsidRDefault="001E25DD" w:rsidP="000C459C">
      <w:pPr>
        <w:widowControl w:val="0"/>
        <w:numPr>
          <w:ilvl w:val="1"/>
          <w:numId w:val="40"/>
        </w:numPr>
        <w:tabs>
          <w:tab w:val="left" w:pos="709"/>
        </w:tabs>
        <w:suppressAutoHyphens/>
        <w:spacing w:after="0"/>
        <w:ind w:left="0" w:right="-720"/>
        <w:contextualSpacing/>
        <w:rPr>
          <w:rFonts w:eastAsia="Droid Sans Fallback" w:cs="Lohit Hindi"/>
          <w:lang w:eastAsia="zh-CN" w:bidi="hi-IN"/>
        </w:rPr>
      </w:pPr>
      <w:r>
        <w:rPr>
          <w:rFonts w:eastAsia="Droid Sans Fallback" w:cs="Lohit Hindi"/>
          <w:lang w:eastAsia="zh-CN" w:bidi="hi-IN"/>
        </w:rPr>
        <w:t>Encourage use of</w:t>
      </w:r>
      <w:r w:rsidR="00EB27F3" w:rsidRPr="00EB27F3">
        <w:rPr>
          <w:rFonts w:eastAsia="Droid Sans Fallback" w:cs="Lohit Hindi"/>
          <w:lang w:eastAsia="zh-CN" w:bidi="hi-IN"/>
        </w:rPr>
        <w:t xml:space="preserve"> universal design</w:t>
      </w:r>
      <w:r w:rsidR="001F49B9" w:rsidRPr="00EB27F3">
        <w:rPr>
          <w:rFonts w:eastAsia="Droid Sans Fallback" w:cs="Lohit Hindi"/>
          <w:lang w:eastAsia="zh-CN" w:bidi="hi-IN"/>
        </w:rPr>
        <w:t xml:space="preserve"> principles intended to serve multiple age groups</w:t>
      </w:r>
      <w:r w:rsidR="003709D5">
        <w:rPr>
          <w:rFonts w:eastAsia="Droid Sans Fallback" w:cs="Lohit Hindi"/>
          <w:lang w:eastAsia="zh-CN" w:bidi="hi-IN"/>
        </w:rPr>
        <w:t>.</w:t>
      </w:r>
    </w:p>
    <w:p w:rsidR="00EB27F3" w:rsidRDefault="003709D5" w:rsidP="000C459C">
      <w:pPr>
        <w:widowControl w:val="0"/>
        <w:numPr>
          <w:ilvl w:val="1"/>
          <w:numId w:val="40"/>
        </w:numPr>
        <w:tabs>
          <w:tab w:val="left" w:pos="709"/>
        </w:tabs>
        <w:suppressAutoHyphens/>
        <w:spacing w:after="0"/>
        <w:ind w:left="0" w:right="-720"/>
        <w:contextualSpacing/>
        <w:rPr>
          <w:rFonts w:eastAsia="Droid Sans Fallback" w:cs="Lohit Hindi"/>
          <w:lang w:eastAsia="zh-CN" w:bidi="hi-IN"/>
        </w:rPr>
      </w:pPr>
      <w:r>
        <w:rPr>
          <w:rFonts w:eastAsia="Droid Sans Fallback" w:cs="Lohit Hindi"/>
          <w:lang w:eastAsia="zh-CN" w:bidi="hi-IN"/>
        </w:rPr>
        <w:t>Provide zoning for mixed-use</w:t>
      </w:r>
      <w:r w:rsidR="001F49B9" w:rsidRPr="00EB27F3">
        <w:rPr>
          <w:rFonts w:eastAsia="Droid Sans Fallback" w:cs="Lohit Hindi"/>
          <w:lang w:eastAsia="zh-CN" w:bidi="hi-IN"/>
        </w:rPr>
        <w:t xml:space="preserve"> developments that create housing in close proximity to shopping and services</w:t>
      </w:r>
      <w:r>
        <w:rPr>
          <w:rFonts w:eastAsia="Droid Sans Fallback" w:cs="Lohit Hindi"/>
          <w:lang w:eastAsia="zh-CN" w:bidi="hi-IN"/>
        </w:rPr>
        <w:t>.</w:t>
      </w:r>
    </w:p>
    <w:p w:rsidR="001F49B9" w:rsidRDefault="001F49B9" w:rsidP="000C459C">
      <w:pPr>
        <w:widowControl w:val="0"/>
        <w:tabs>
          <w:tab w:val="left" w:pos="709"/>
        </w:tabs>
        <w:suppressAutoHyphens/>
        <w:spacing w:after="0"/>
        <w:ind w:right="-720"/>
        <w:rPr>
          <w:rFonts w:eastAsia="Droid Sans Fallback" w:cs="Lohit Hindi"/>
          <w:color w:val="FF0000"/>
          <w:sz w:val="28"/>
          <w:szCs w:val="28"/>
          <w:lang w:eastAsia="zh-CN" w:bidi="hi-IN"/>
        </w:rPr>
      </w:pPr>
    </w:p>
    <w:p w:rsidR="001F49B9" w:rsidRPr="000C459C" w:rsidRDefault="001F49B9" w:rsidP="000C459C">
      <w:pPr>
        <w:pStyle w:val="ListParagraph"/>
        <w:widowControl w:val="0"/>
        <w:numPr>
          <w:ilvl w:val="0"/>
          <w:numId w:val="40"/>
        </w:numPr>
        <w:tabs>
          <w:tab w:val="left" w:pos="709"/>
        </w:tabs>
        <w:suppressAutoHyphens/>
        <w:spacing w:after="0"/>
        <w:ind w:left="0" w:right="-720"/>
        <w:rPr>
          <w:rFonts w:eastAsia="Droid Sans Fallback" w:cs="Lohit Hindi"/>
          <w:i/>
          <w:sz w:val="28"/>
          <w:szCs w:val="28"/>
          <w:lang w:eastAsia="zh-CN" w:bidi="hi-IN"/>
        </w:rPr>
      </w:pPr>
      <w:r w:rsidRPr="000C459C">
        <w:rPr>
          <w:rFonts w:eastAsia="Droid Sans Fallback" w:cs="Lohit Hindi"/>
          <w:i/>
          <w:sz w:val="28"/>
          <w:szCs w:val="28"/>
          <w:lang w:eastAsia="zh-CN" w:bidi="hi-IN"/>
        </w:rPr>
        <w:t xml:space="preserve">GOAL: CONTINUE TO PROVIDE OPPORTUNITIES FOR ACCESS TO </w:t>
      </w:r>
      <w:r w:rsidR="009D429E" w:rsidRPr="000C459C">
        <w:rPr>
          <w:rFonts w:eastAsia="Droid Sans Fallback" w:cs="Lohit Hindi"/>
          <w:i/>
          <w:sz w:val="28"/>
          <w:szCs w:val="28"/>
          <w:lang w:eastAsia="zh-CN" w:bidi="hi-IN"/>
        </w:rPr>
        <w:t xml:space="preserve">ATTRACTIVE </w:t>
      </w:r>
      <w:r w:rsidRPr="000C459C">
        <w:rPr>
          <w:rFonts w:eastAsia="Droid Sans Fallback" w:cs="Lohit Hindi"/>
          <w:i/>
          <w:sz w:val="28"/>
          <w:szCs w:val="28"/>
          <w:lang w:eastAsia="zh-CN" w:bidi="hi-IN"/>
        </w:rPr>
        <w:t>OWNER AND RENTER HOUSING STOCK</w:t>
      </w:r>
    </w:p>
    <w:p w:rsidR="001F49B9" w:rsidRDefault="001F49B9" w:rsidP="000C459C">
      <w:pPr>
        <w:widowControl w:val="0"/>
        <w:numPr>
          <w:ilvl w:val="1"/>
          <w:numId w:val="40"/>
        </w:numPr>
        <w:suppressAutoHyphens/>
        <w:spacing w:after="0"/>
        <w:ind w:left="0" w:right="-720"/>
        <w:contextualSpacing/>
        <w:rPr>
          <w:rFonts w:eastAsia="Droid Sans Fallback" w:cs="Lohit Hindi"/>
          <w:sz w:val="28"/>
          <w:szCs w:val="28"/>
          <w:lang w:eastAsia="zh-CN" w:bidi="hi-IN"/>
        </w:rPr>
      </w:pPr>
      <w:r>
        <w:rPr>
          <w:rFonts w:eastAsia="Droid Sans Fallback" w:cs="Lohit Hindi"/>
          <w:lang w:eastAsia="zh-CN" w:bidi="hi-IN"/>
        </w:rPr>
        <w:t xml:space="preserve">Continue to </w:t>
      </w:r>
      <w:r w:rsidR="005104B4">
        <w:rPr>
          <w:rFonts w:eastAsia="Droid Sans Fallback" w:cs="Lohit Hindi"/>
          <w:lang w:eastAsia="zh-CN" w:bidi="hi-IN"/>
        </w:rPr>
        <w:t>provide zoning regulations that allow</w:t>
      </w:r>
      <w:r>
        <w:rPr>
          <w:rFonts w:eastAsia="Droid Sans Fallback" w:cs="Lohit Hindi"/>
          <w:lang w:eastAsia="zh-CN" w:bidi="hi-IN"/>
        </w:rPr>
        <w:t xml:space="preserve"> owner-occupied housing that is </w:t>
      </w:r>
      <w:r w:rsidR="009D429E">
        <w:rPr>
          <w:rFonts w:eastAsia="Droid Sans Fallback" w:cs="Lohit Hindi"/>
          <w:lang w:eastAsia="zh-CN" w:bidi="hi-IN"/>
        </w:rPr>
        <w:t>attractive</w:t>
      </w:r>
      <w:r>
        <w:rPr>
          <w:rFonts w:eastAsia="Droid Sans Fallback" w:cs="Lohit Hindi"/>
          <w:lang w:eastAsia="zh-CN" w:bidi="hi-IN"/>
        </w:rPr>
        <w:t xml:space="preserve"> to a diverse group of current and prospective Newmarket residents</w:t>
      </w:r>
      <w:r w:rsidR="003709D5">
        <w:rPr>
          <w:rFonts w:eastAsia="Droid Sans Fallback" w:cs="Lohit Hindi"/>
          <w:lang w:eastAsia="zh-CN" w:bidi="hi-IN"/>
        </w:rPr>
        <w:t>.</w:t>
      </w:r>
    </w:p>
    <w:p w:rsidR="001F49B9" w:rsidRDefault="00B81F99"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Accommodate</w:t>
      </w:r>
      <w:r w:rsidR="001F49B9">
        <w:rPr>
          <w:rFonts w:eastAsia="Droid Sans Fallback" w:cs="Lohit Hindi"/>
          <w:lang w:eastAsia="zh-CN" w:bidi="hi-IN"/>
        </w:rPr>
        <w:t xml:space="preserve"> accessory units as a viabl</w:t>
      </w:r>
      <w:r w:rsidR="00EA40B6">
        <w:rPr>
          <w:rFonts w:eastAsia="Droid Sans Fallback" w:cs="Lohit Hindi"/>
          <w:lang w:eastAsia="zh-CN" w:bidi="hi-IN"/>
        </w:rPr>
        <w:t>e option for downsizing</w:t>
      </w:r>
      <w:r w:rsidR="005104B4">
        <w:rPr>
          <w:rFonts w:eastAsia="Droid Sans Fallback" w:cs="Lohit Hindi"/>
          <w:lang w:eastAsia="zh-CN" w:bidi="hi-IN"/>
        </w:rPr>
        <w:t>,</w:t>
      </w:r>
      <w:r w:rsidR="00EA40B6">
        <w:rPr>
          <w:rFonts w:eastAsia="Droid Sans Fallback" w:cs="Lohit Hindi"/>
          <w:lang w:eastAsia="zh-CN" w:bidi="hi-IN"/>
        </w:rPr>
        <w:t xml:space="preserve"> </w:t>
      </w:r>
      <w:r w:rsidR="001F49B9">
        <w:rPr>
          <w:rFonts w:eastAsia="Droid Sans Fallback" w:cs="Lohit Hindi"/>
          <w:lang w:eastAsia="zh-CN" w:bidi="hi-IN"/>
        </w:rPr>
        <w:t>starter homes</w:t>
      </w:r>
      <w:r w:rsidR="005104B4">
        <w:rPr>
          <w:rFonts w:eastAsia="Droid Sans Fallback" w:cs="Lohit Hindi"/>
          <w:lang w:eastAsia="zh-CN" w:bidi="hi-IN"/>
        </w:rPr>
        <w:t>, and multigenerational uses</w:t>
      </w:r>
      <w:r w:rsidR="003709D5">
        <w:rPr>
          <w:rFonts w:eastAsia="Droid Sans Fallback" w:cs="Lohit Hindi"/>
          <w:lang w:eastAsia="zh-CN" w:bidi="hi-IN"/>
        </w:rPr>
        <w:t>.</w:t>
      </w:r>
      <w:r w:rsidR="001F49B9">
        <w:rPr>
          <w:rFonts w:eastAsia="Droid Sans Fallback" w:cs="Lohit Hindi"/>
          <w:lang w:eastAsia="zh-CN" w:bidi="hi-IN"/>
        </w:rPr>
        <w:t xml:space="preserve"> </w:t>
      </w:r>
    </w:p>
    <w:p w:rsidR="001F49B9" w:rsidRDefault="001F49B9"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 xml:space="preserve">Promote repurposing and/or redevelopment of vacant and deteriorating housing stock </w:t>
      </w:r>
      <w:r w:rsidR="005104B4">
        <w:rPr>
          <w:rFonts w:eastAsia="Droid Sans Fallback" w:cs="Lohit Hindi"/>
          <w:lang w:eastAsia="zh-CN" w:bidi="hi-IN"/>
        </w:rPr>
        <w:t>that would contribute to expanding the tax base</w:t>
      </w:r>
      <w:r w:rsidR="003709D5">
        <w:rPr>
          <w:rFonts w:eastAsia="Droid Sans Fallback" w:cs="Lohit Hindi"/>
          <w:lang w:eastAsia="zh-CN" w:bidi="hi-IN"/>
        </w:rPr>
        <w:t>.</w:t>
      </w:r>
    </w:p>
    <w:p w:rsidR="00DF41B2" w:rsidRDefault="003709D5"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Conduct a c</w:t>
      </w:r>
      <w:r w:rsidR="00DF41B2">
        <w:rPr>
          <w:rFonts w:eastAsia="Droid Sans Fallback" w:cs="Lohit Hindi"/>
          <w:lang w:eastAsia="zh-CN" w:bidi="hi-IN"/>
        </w:rPr>
        <w:t>omprehensive re</w:t>
      </w:r>
      <w:r w:rsidR="008154FA">
        <w:rPr>
          <w:rFonts w:eastAsia="Droid Sans Fallback" w:cs="Lohit Hindi"/>
          <w:lang w:eastAsia="zh-CN" w:bidi="hi-IN"/>
        </w:rPr>
        <w:t>-</w:t>
      </w:r>
      <w:r w:rsidR="00DF41B2">
        <w:rPr>
          <w:rFonts w:eastAsia="Droid Sans Fallback" w:cs="Lohit Hindi"/>
          <w:lang w:eastAsia="zh-CN" w:bidi="hi-IN"/>
        </w:rPr>
        <w:t>evaluation of zoning ordinances and regulations</w:t>
      </w:r>
      <w:r>
        <w:rPr>
          <w:rFonts w:eastAsia="Droid Sans Fallback" w:cs="Lohit Hindi"/>
          <w:lang w:eastAsia="zh-CN" w:bidi="hi-IN"/>
        </w:rPr>
        <w:t>.</w:t>
      </w:r>
    </w:p>
    <w:p w:rsidR="00DF41B2" w:rsidRDefault="00DF41B2"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Establish design review standards in the downtown area</w:t>
      </w:r>
      <w:r w:rsidR="003709D5">
        <w:rPr>
          <w:rFonts w:eastAsia="Droid Sans Fallback" w:cs="Lohit Hindi"/>
          <w:lang w:eastAsia="zh-CN" w:bidi="hi-IN"/>
        </w:rPr>
        <w:t>.</w:t>
      </w:r>
    </w:p>
    <w:p w:rsidR="001F49B9" w:rsidRDefault="001F49B9" w:rsidP="000C459C">
      <w:pPr>
        <w:widowControl w:val="0"/>
        <w:tabs>
          <w:tab w:val="left" w:pos="709"/>
        </w:tabs>
        <w:suppressAutoHyphens/>
        <w:spacing w:after="0"/>
        <w:ind w:right="-720"/>
        <w:contextualSpacing/>
        <w:rPr>
          <w:rFonts w:eastAsia="Droid Sans Fallback" w:cs="Lohit Hindi"/>
          <w:i/>
          <w:color w:val="FF0000"/>
          <w:sz w:val="28"/>
          <w:szCs w:val="28"/>
          <w:lang w:eastAsia="zh-CN" w:bidi="hi-IN"/>
        </w:rPr>
      </w:pPr>
    </w:p>
    <w:p w:rsidR="001F49B9" w:rsidRPr="000C459C" w:rsidRDefault="001F49B9" w:rsidP="000C459C">
      <w:pPr>
        <w:pStyle w:val="ListParagraph"/>
        <w:widowControl w:val="0"/>
        <w:numPr>
          <w:ilvl w:val="0"/>
          <w:numId w:val="40"/>
        </w:numPr>
        <w:tabs>
          <w:tab w:val="left" w:pos="709"/>
        </w:tabs>
        <w:suppressAutoHyphens/>
        <w:spacing w:after="0"/>
        <w:ind w:left="0" w:right="-720"/>
        <w:rPr>
          <w:rFonts w:eastAsia="Droid Sans Fallback" w:cs="Lohit Hindi"/>
          <w:i/>
          <w:sz w:val="28"/>
          <w:szCs w:val="28"/>
          <w:lang w:eastAsia="zh-CN" w:bidi="hi-IN"/>
        </w:rPr>
      </w:pPr>
      <w:r w:rsidRPr="000C459C">
        <w:rPr>
          <w:rFonts w:eastAsia="Droid Sans Fallback" w:cs="Lohit Hindi"/>
          <w:i/>
          <w:sz w:val="28"/>
          <w:szCs w:val="28"/>
          <w:lang w:eastAsia="zh-CN" w:bidi="hi-IN"/>
        </w:rPr>
        <w:t>GOAL: CONTINUE TO BUILD PARTNERSHIPS WITH LOCAL AND REGIONAL HOUSING ORGANIZATIONS AND ENTITIES</w:t>
      </w:r>
    </w:p>
    <w:p w:rsidR="001F49B9" w:rsidRDefault="001F49B9" w:rsidP="000C459C">
      <w:pPr>
        <w:widowControl w:val="0"/>
        <w:numPr>
          <w:ilvl w:val="1"/>
          <w:numId w:val="40"/>
        </w:numPr>
        <w:suppressAutoHyphens/>
        <w:spacing w:after="0"/>
        <w:ind w:left="0" w:right="-720"/>
        <w:contextualSpacing/>
        <w:rPr>
          <w:rFonts w:eastAsia="Droid Sans Fallback" w:cs="Lohit Hindi"/>
          <w:i/>
          <w:sz w:val="28"/>
          <w:szCs w:val="28"/>
          <w:lang w:eastAsia="zh-CN" w:bidi="hi-IN"/>
        </w:rPr>
      </w:pPr>
      <w:r>
        <w:rPr>
          <w:rFonts w:eastAsia="Droid Sans Fallback" w:cs="Lohit Hindi"/>
          <w:lang w:eastAsia="zh-CN" w:bidi="hi-IN"/>
        </w:rPr>
        <w:t>Continue to foster a productive relationship with the Newmarket Housing Authority in an effort to</w:t>
      </w:r>
      <w:r w:rsidR="00A15FA6">
        <w:rPr>
          <w:rFonts w:eastAsia="Droid Sans Fallback" w:cs="Lohit Hindi"/>
          <w:lang w:eastAsia="zh-CN" w:bidi="hi-IN"/>
        </w:rPr>
        <w:t xml:space="preserve"> </w:t>
      </w:r>
      <w:r w:rsidR="005E7D8B">
        <w:rPr>
          <w:rFonts w:eastAsia="Droid Sans Fallback" w:cs="Lohit Hindi"/>
          <w:lang w:eastAsia="zh-CN" w:bidi="hi-IN"/>
        </w:rPr>
        <w:t>provide</w:t>
      </w:r>
      <w:r w:rsidR="001D08F3">
        <w:rPr>
          <w:rFonts w:eastAsia="Droid Sans Fallback" w:cs="Lohit Hindi"/>
          <w:lang w:eastAsia="zh-CN" w:bidi="hi-IN"/>
        </w:rPr>
        <w:t xml:space="preserve"> </w:t>
      </w:r>
      <w:r>
        <w:rPr>
          <w:rFonts w:eastAsia="Droid Sans Fallback" w:cs="Lohit Hindi"/>
          <w:lang w:eastAsia="zh-CN" w:bidi="hi-IN"/>
        </w:rPr>
        <w:t>opportunit</w:t>
      </w:r>
      <w:r w:rsidR="003709D5">
        <w:rPr>
          <w:rFonts w:eastAsia="Droid Sans Fallback" w:cs="Lohit Hindi"/>
          <w:lang w:eastAsia="zh-CN" w:bidi="hi-IN"/>
        </w:rPr>
        <w:t>ies</w:t>
      </w:r>
      <w:r>
        <w:rPr>
          <w:rFonts w:eastAsia="Droid Sans Fallback" w:cs="Lohit Hindi"/>
          <w:lang w:eastAsia="zh-CN" w:bidi="hi-IN"/>
        </w:rPr>
        <w:t xml:space="preserve"> for housing </w:t>
      </w:r>
      <w:r w:rsidR="003709D5">
        <w:rPr>
          <w:rFonts w:eastAsia="Droid Sans Fallback" w:cs="Lohit Hindi"/>
          <w:lang w:eastAsia="zh-CN" w:bidi="hi-IN"/>
        </w:rPr>
        <w:t>for</w:t>
      </w:r>
      <w:r>
        <w:rPr>
          <w:rFonts w:eastAsia="Droid Sans Fallback" w:cs="Lohit Hindi"/>
          <w:lang w:eastAsia="zh-CN" w:bidi="hi-IN"/>
        </w:rPr>
        <w:t xml:space="preserve"> individuals </w:t>
      </w:r>
      <w:r w:rsidR="003709D5">
        <w:rPr>
          <w:rFonts w:eastAsia="Droid Sans Fallback" w:cs="Lohit Hindi"/>
          <w:lang w:eastAsia="zh-CN" w:bidi="hi-IN"/>
        </w:rPr>
        <w:t xml:space="preserve">and families </w:t>
      </w:r>
      <w:r>
        <w:rPr>
          <w:rFonts w:eastAsia="Droid Sans Fallback" w:cs="Lohit Hindi"/>
          <w:lang w:eastAsia="zh-CN" w:bidi="hi-IN"/>
        </w:rPr>
        <w:t>with diverse socio-economic backgrounds</w:t>
      </w:r>
      <w:r w:rsidR="003709D5">
        <w:rPr>
          <w:rFonts w:eastAsia="Droid Sans Fallback" w:cs="Lohit Hindi"/>
          <w:lang w:eastAsia="zh-CN" w:bidi="hi-IN"/>
        </w:rPr>
        <w:t>.</w:t>
      </w:r>
    </w:p>
    <w:p w:rsidR="001F49B9" w:rsidRPr="00A15FA6" w:rsidRDefault="00C908A0" w:rsidP="000C459C">
      <w:pPr>
        <w:widowControl w:val="0"/>
        <w:numPr>
          <w:ilvl w:val="1"/>
          <w:numId w:val="40"/>
        </w:numPr>
        <w:suppressAutoHyphens/>
        <w:spacing w:after="0"/>
        <w:ind w:left="0" w:right="-720"/>
        <w:contextualSpacing/>
        <w:rPr>
          <w:rFonts w:eastAsia="Droid Sans Fallback" w:cs="Lohit Hindi"/>
          <w:lang w:eastAsia="zh-CN" w:bidi="hi-IN"/>
        </w:rPr>
      </w:pPr>
      <w:r>
        <w:rPr>
          <w:rFonts w:eastAsia="Droid Sans Fallback" w:cs="Lohit Hindi"/>
          <w:lang w:eastAsia="zh-CN" w:bidi="hi-IN"/>
        </w:rPr>
        <w:t>Continue to explore</w:t>
      </w:r>
      <w:r w:rsidR="005E7D8B">
        <w:rPr>
          <w:rFonts w:eastAsia="Droid Sans Fallback" w:cs="Lohit Hindi"/>
          <w:lang w:eastAsia="zh-CN" w:bidi="hi-IN"/>
        </w:rPr>
        <w:t xml:space="preserve"> and document</w:t>
      </w:r>
      <w:r>
        <w:rPr>
          <w:rFonts w:eastAsia="Droid Sans Fallback" w:cs="Lohit Hindi"/>
          <w:lang w:eastAsia="zh-CN" w:bidi="hi-IN"/>
        </w:rPr>
        <w:t xml:space="preserve"> </w:t>
      </w:r>
      <w:r w:rsidR="001F49B9" w:rsidRPr="00A15FA6">
        <w:rPr>
          <w:rFonts w:eastAsia="Droid Sans Fallback" w:cs="Lohit Hindi"/>
          <w:lang w:eastAsia="zh-CN" w:bidi="hi-IN"/>
        </w:rPr>
        <w:t xml:space="preserve">the relationship between </w:t>
      </w:r>
      <w:r>
        <w:rPr>
          <w:rFonts w:eastAsia="Droid Sans Fallback" w:cs="Lohit Hindi"/>
          <w:lang w:eastAsia="zh-CN" w:bidi="hi-IN"/>
        </w:rPr>
        <w:t xml:space="preserve">overall community development, </w:t>
      </w:r>
      <w:r w:rsidR="001F49B9" w:rsidRPr="00A15FA6">
        <w:rPr>
          <w:rFonts w:eastAsia="Droid Sans Fallback" w:cs="Lohit Hindi"/>
          <w:lang w:eastAsia="zh-CN" w:bidi="hi-IN"/>
        </w:rPr>
        <w:t>economic growth</w:t>
      </w:r>
      <w:r>
        <w:rPr>
          <w:rFonts w:eastAsia="Droid Sans Fallback" w:cs="Lohit Hindi"/>
          <w:lang w:eastAsia="zh-CN" w:bidi="hi-IN"/>
        </w:rPr>
        <w:t>,</w:t>
      </w:r>
      <w:r w:rsidR="001F49B9" w:rsidRPr="00A15FA6">
        <w:rPr>
          <w:rFonts w:eastAsia="Droid Sans Fallback" w:cs="Lohit Hindi"/>
          <w:lang w:eastAsia="zh-CN" w:bidi="hi-IN"/>
        </w:rPr>
        <w:t xml:space="preserve"> and </w:t>
      </w:r>
      <w:r w:rsidR="00045BB9" w:rsidRPr="00A15FA6">
        <w:rPr>
          <w:rFonts w:eastAsia="Droid Sans Fallback" w:cs="Lohit Hindi"/>
          <w:lang w:eastAsia="zh-CN" w:bidi="hi-IN"/>
        </w:rPr>
        <w:t xml:space="preserve">housing </w:t>
      </w:r>
      <w:r>
        <w:rPr>
          <w:rFonts w:eastAsia="Droid Sans Fallback" w:cs="Lohit Hindi"/>
          <w:lang w:eastAsia="zh-CN" w:bidi="hi-IN"/>
        </w:rPr>
        <w:t xml:space="preserve">stock </w:t>
      </w:r>
      <w:r w:rsidR="00045BB9" w:rsidRPr="00A15FA6">
        <w:rPr>
          <w:rFonts w:eastAsia="Droid Sans Fallback" w:cs="Lohit Hindi"/>
          <w:lang w:eastAsia="zh-CN" w:bidi="hi-IN"/>
        </w:rPr>
        <w:t>availability</w:t>
      </w:r>
      <w:r w:rsidR="003709D5">
        <w:rPr>
          <w:rFonts w:eastAsia="Droid Sans Fallback" w:cs="Lohit Hindi"/>
          <w:lang w:eastAsia="zh-CN" w:bidi="hi-IN"/>
        </w:rPr>
        <w:t>.</w:t>
      </w:r>
    </w:p>
    <w:p w:rsidR="001F49B9" w:rsidRDefault="00A15FA6" w:rsidP="001F49B9">
      <w:r>
        <w:t xml:space="preserve"> </w:t>
      </w:r>
    </w:p>
    <w:p w:rsidR="002F39B6" w:rsidRPr="00614D51" w:rsidRDefault="002F39B6" w:rsidP="001F49B9">
      <w:pPr>
        <w:jc w:val="left"/>
        <w:rPr>
          <w:i/>
          <w:sz w:val="44"/>
          <w:szCs w:val="44"/>
        </w:rPr>
      </w:pPr>
    </w:p>
    <w:sectPr w:rsidR="002F39B6" w:rsidRPr="00614D51" w:rsidSect="001250D6">
      <w:pgSz w:w="12240" w:h="15840"/>
      <w:pgMar w:top="1440" w:right="1440" w:bottom="1440"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955" w:rsidRDefault="00563955" w:rsidP="00D233D3">
      <w:r>
        <w:separator/>
      </w:r>
    </w:p>
  </w:endnote>
  <w:endnote w:type="continuationSeparator" w:id="0">
    <w:p w:rsidR="00563955" w:rsidRDefault="00563955" w:rsidP="00D2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327203"/>
      <w:docPartObj>
        <w:docPartGallery w:val="Page Numbers (Bottom of Page)"/>
        <w:docPartUnique/>
      </w:docPartObj>
    </w:sdtPr>
    <w:sdtEndPr>
      <w:rPr>
        <w:noProof/>
      </w:rPr>
    </w:sdtEndPr>
    <w:sdtContent>
      <w:p w:rsidR="009A5582" w:rsidRDefault="009A5582">
        <w:pPr>
          <w:pStyle w:val="Footer"/>
          <w:jc w:val="right"/>
        </w:pPr>
        <w:r>
          <w:fldChar w:fldCharType="begin"/>
        </w:r>
        <w:r>
          <w:instrText xml:space="preserve"> PAGE   \* MERGEFORMAT </w:instrText>
        </w:r>
        <w:r>
          <w:fldChar w:fldCharType="separate"/>
        </w:r>
        <w:r w:rsidR="00003E46">
          <w:rPr>
            <w:noProof/>
          </w:rPr>
          <w:t>22</w:t>
        </w:r>
        <w:r>
          <w:rPr>
            <w:noProof/>
          </w:rPr>
          <w:fldChar w:fldCharType="end"/>
        </w:r>
      </w:p>
    </w:sdtContent>
  </w:sdt>
  <w:p w:rsidR="009A5582" w:rsidRDefault="009A5582" w:rsidP="00A3645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955" w:rsidRDefault="00563955" w:rsidP="00D233D3">
      <w:r>
        <w:separator/>
      </w:r>
    </w:p>
  </w:footnote>
  <w:footnote w:type="continuationSeparator" w:id="0">
    <w:p w:rsidR="00563955" w:rsidRDefault="00563955" w:rsidP="00D233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82" w:rsidRPr="007620B0" w:rsidRDefault="009A5582" w:rsidP="00771F3B">
    <w:pPr>
      <w:pStyle w:val="Header"/>
      <w:ind w:left="-720"/>
      <w:rPr>
        <w:sz w:val="28"/>
        <w:szCs w:val="28"/>
      </w:rPr>
    </w:pPr>
    <w:r w:rsidRPr="007620B0">
      <w:rPr>
        <w:noProof/>
        <w:sz w:val="28"/>
        <w:szCs w:val="28"/>
      </w:rPr>
      <w:drawing>
        <wp:anchor distT="0" distB="0" distL="114300" distR="114300" simplePos="0" relativeHeight="251658240" behindDoc="0" locked="0" layoutInCell="1" allowOverlap="1" wp14:anchorId="0E314BE6" wp14:editId="14396098">
          <wp:simplePos x="0" y="0"/>
          <wp:positionH relativeFrom="column">
            <wp:posOffset>6049010</wp:posOffset>
          </wp:positionH>
          <wp:positionV relativeFrom="paragraph">
            <wp:posOffset>107950</wp:posOffset>
          </wp:positionV>
          <wp:extent cx="484505" cy="419100"/>
          <wp:effectExtent l="0" t="0" r="0" b="0"/>
          <wp:wrapSquare wrapText="bothSides"/>
          <wp:docPr id="27" name="Picture 27" descr="http://www.newmarketnh.gov/sites/newmarketnh/files/imagecache/news_image/news/image/town_se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marketnh.gov/sites/newmarketnh/files/imagecache/news_image/news/image/town_seal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450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0B0">
      <w:rPr>
        <w:sz w:val="28"/>
        <w:szCs w:val="28"/>
      </w:rPr>
      <w:t>Master Plan: Housing and Demographics Chapter</w:t>
    </w:r>
  </w:p>
  <w:sdt>
    <w:sdtPr>
      <w:rPr>
        <w:sz w:val="16"/>
        <w:szCs w:val="16"/>
      </w:rPr>
      <w:alias w:val="Title"/>
      <w:id w:val="-2068406980"/>
      <w:placeholder>
        <w:docPart w:val="B9623BB35A244D0894AE2584E7A8C636"/>
      </w:placeholder>
      <w:dataBinding w:prefixMappings="xmlns:ns0='http://schemas.openxmlformats.org/package/2006/metadata/core-properties' xmlns:ns1='http://purl.org/dc/elements/1.1/'" w:xpath="/ns0:coreProperties[1]/ns1:title[1]" w:storeItemID="{6C3C8BC8-F283-45AE-878A-BAB7291924A1}"/>
      <w:text/>
    </w:sdtPr>
    <w:sdtEndPr/>
    <w:sdtContent>
      <w:p w:rsidR="009A5582" w:rsidRPr="007620B0" w:rsidRDefault="009A5582" w:rsidP="00771F3B">
        <w:pPr>
          <w:pStyle w:val="Header"/>
          <w:ind w:left="-720"/>
          <w:rPr>
            <w:sz w:val="16"/>
            <w:szCs w:val="16"/>
          </w:rPr>
        </w:pPr>
        <w:r w:rsidRPr="007620B0">
          <w:rPr>
            <w:sz w:val="16"/>
            <w:szCs w:val="16"/>
          </w:rPr>
          <w:t>Town of Newmarket, New Hampshire</w:t>
        </w:r>
      </w:p>
    </w:sdtContent>
  </w:sdt>
  <w:p w:rsidR="009A5582" w:rsidRPr="00D233D3" w:rsidRDefault="009A5582" w:rsidP="00D233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4EFC"/>
    <w:multiLevelType w:val="hybridMultilevel"/>
    <w:tmpl w:val="B330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45F00"/>
    <w:multiLevelType w:val="multilevel"/>
    <w:tmpl w:val="C00A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82351"/>
    <w:multiLevelType w:val="hybridMultilevel"/>
    <w:tmpl w:val="2216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73512"/>
    <w:multiLevelType w:val="hybridMultilevel"/>
    <w:tmpl w:val="620CFD18"/>
    <w:lvl w:ilvl="0" w:tplc="DB56314E">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176B0CBC"/>
    <w:multiLevelType w:val="hybridMultilevel"/>
    <w:tmpl w:val="966E6F54"/>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900" w:hanging="360"/>
      </w:pPr>
      <w:rPr>
        <w:rFonts w:ascii="Wingdings" w:hAnsi="Wingdings" w:hint="default"/>
      </w:rPr>
    </w:lvl>
    <w:lvl w:ilvl="3" w:tplc="04090001">
      <w:start w:val="1"/>
      <w:numFmt w:val="bullet"/>
      <w:lvlText w:val=""/>
      <w:lvlJc w:val="left"/>
      <w:pPr>
        <w:ind w:left="1620" w:hanging="360"/>
      </w:pPr>
      <w:rPr>
        <w:rFonts w:ascii="Symbol" w:hAnsi="Symbol" w:hint="default"/>
      </w:rPr>
    </w:lvl>
    <w:lvl w:ilvl="4" w:tplc="04090003">
      <w:start w:val="1"/>
      <w:numFmt w:val="bullet"/>
      <w:lvlText w:val="o"/>
      <w:lvlJc w:val="left"/>
      <w:pPr>
        <w:ind w:left="2340" w:hanging="360"/>
      </w:pPr>
      <w:rPr>
        <w:rFonts w:ascii="Courier New" w:hAnsi="Courier New" w:cs="Courier New" w:hint="default"/>
      </w:rPr>
    </w:lvl>
    <w:lvl w:ilvl="5" w:tplc="04090005">
      <w:start w:val="1"/>
      <w:numFmt w:val="bullet"/>
      <w:lvlText w:val=""/>
      <w:lvlJc w:val="left"/>
      <w:pPr>
        <w:ind w:left="3060" w:hanging="360"/>
      </w:pPr>
      <w:rPr>
        <w:rFonts w:ascii="Wingdings" w:hAnsi="Wingdings" w:hint="default"/>
      </w:rPr>
    </w:lvl>
    <w:lvl w:ilvl="6" w:tplc="04090001">
      <w:start w:val="1"/>
      <w:numFmt w:val="bullet"/>
      <w:lvlText w:val=""/>
      <w:lvlJc w:val="left"/>
      <w:pPr>
        <w:ind w:left="3780" w:hanging="360"/>
      </w:pPr>
      <w:rPr>
        <w:rFonts w:ascii="Symbol" w:hAnsi="Symbol" w:hint="default"/>
      </w:rPr>
    </w:lvl>
    <w:lvl w:ilvl="7" w:tplc="04090003">
      <w:start w:val="1"/>
      <w:numFmt w:val="bullet"/>
      <w:lvlText w:val="o"/>
      <w:lvlJc w:val="left"/>
      <w:pPr>
        <w:ind w:left="4500" w:hanging="360"/>
      </w:pPr>
      <w:rPr>
        <w:rFonts w:ascii="Courier New" w:hAnsi="Courier New" w:cs="Courier New" w:hint="default"/>
      </w:rPr>
    </w:lvl>
    <w:lvl w:ilvl="8" w:tplc="04090005">
      <w:start w:val="1"/>
      <w:numFmt w:val="bullet"/>
      <w:lvlText w:val=""/>
      <w:lvlJc w:val="left"/>
      <w:pPr>
        <w:ind w:left="5220" w:hanging="360"/>
      </w:pPr>
      <w:rPr>
        <w:rFonts w:ascii="Wingdings" w:hAnsi="Wingdings" w:hint="default"/>
      </w:rPr>
    </w:lvl>
  </w:abstractNum>
  <w:abstractNum w:abstractNumId="5">
    <w:nsid w:val="186E7BA2"/>
    <w:multiLevelType w:val="hybridMultilevel"/>
    <w:tmpl w:val="D310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D94026"/>
    <w:multiLevelType w:val="hybridMultilevel"/>
    <w:tmpl w:val="649E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C048F"/>
    <w:multiLevelType w:val="hybridMultilevel"/>
    <w:tmpl w:val="EB56C13C"/>
    <w:lvl w:ilvl="0" w:tplc="C636B394">
      <w:start w:val="1"/>
      <w:numFmt w:val="upperRoman"/>
      <w:lvlText w:val="%1."/>
      <w:lvlJc w:val="right"/>
      <w:pPr>
        <w:ind w:left="720" w:hanging="360"/>
      </w:pPr>
      <w:rPr>
        <w:i/>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C13C1"/>
    <w:multiLevelType w:val="hybridMultilevel"/>
    <w:tmpl w:val="1E38A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nsid w:val="267342EC"/>
    <w:multiLevelType w:val="multilevel"/>
    <w:tmpl w:val="4C18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9A02A6"/>
    <w:multiLevelType w:val="hybridMultilevel"/>
    <w:tmpl w:val="7C48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80930"/>
    <w:multiLevelType w:val="multilevel"/>
    <w:tmpl w:val="509E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0362B0"/>
    <w:multiLevelType w:val="hybridMultilevel"/>
    <w:tmpl w:val="9F88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775EF2"/>
    <w:multiLevelType w:val="hybridMultilevel"/>
    <w:tmpl w:val="6034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C607F"/>
    <w:multiLevelType w:val="hybridMultilevel"/>
    <w:tmpl w:val="8A02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D5BD5"/>
    <w:multiLevelType w:val="hybridMultilevel"/>
    <w:tmpl w:val="9030F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2464F8"/>
    <w:multiLevelType w:val="hybridMultilevel"/>
    <w:tmpl w:val="95EE73D0"/>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900" w:hanging="360"/>
      </w:pPr>
      <w:rPr>
        <w:rFonts w:ascii="Wingdings" w:hAnsi="Wingdings" w:hint="default"/>
      </w:rPr>
    </w:lvl>
    <w:lvl w:ilvl="3" w:tplc="04090001">
      <w:start w:val="1"/>
      <w:numFmt w:val="bullet"/>
      <w:lvlText w:val=""/>
      <w:lvlJc w:val="left"/>
      <w:pPr>
        <w:ind w:left="1620" w:hanging="360"/>
      </w:pPr>
      <w:rPr>
        <w:rFonts w:ascii="Symbol" w:hAnsi="Symbol" w:hint="default"/>
      </w:rPr>
    </w:lvl>
    <w:lvl w:ilvl="4" w:tplc="04090003">
      <w:start w:val="1"/>
      <w:numFmt w:val="bullet"/>
      <w:lvlText w:val="o"/>
      <w:lvlJc w:val="left"/>
      <w:pPr>
        <w:ind w:left="2340" w:hanging="360"/>
      </w:pPr>
      <w:rPr>
        <w:rFonts w:ascii="Courier New" w:hAnsi="Courier New" w:cs="Courier New" w:hint="default"/>
      </w:rPr>
    </w:lvl>
    <w:lvl w:ilvl="5" w:tplc="04090005">
      <w:start w:val="1"/>
      <w:numFmt w:val="bullet"/>
      <w:lvlText w:val=""/>
      <w:lvlJc w:val="left"/>
      <w:pPr>
        <w:ind w:left="3060" w:hanging="360"/>
      </w:pPr>
      <w:rPr>
        <w:rFonts w:ascii="Wingdings" w:hAnsi="Wingdings" w:hint="default"/>
      </w:rPr>
    </w:lvl>
    <w:lvl w:ilvl="6" w:tplc="04090001">
      <w:start w:val="1"/>
      <w:numFmt w:val="bullet"/>
      <w:lvlText w:val=""/>
      <w:lvlJc w:val="left"/>
      <w:pPr>
        <w:ind w:left="3780" w:hanging="360"/>
      </w:pPr>
      <w:rPr>
        <w:rFonts w:ascii="Symbol" w:hAnsi="Symbol" w:hint="default"/>
      </w:rPr>
    </w:lvl>
    <w:lvl w:ilvl="7" w:tplc="04090003">
      <w:start w:val="1"/>
      <w:numFmt w:val="bullet"/>
      <w:lvlText w:val="o"/>
      <w:lvlJc w:val="left"/>
      <w:pPr>
        <w:ind w:left="4500" w:hanging="360"/>
      </w:pPr>
      <w:rPr>
        <w:rFonts w:ascii="Courier New" w:hAnsi="Courier New" w:cs="Courier New" w:hint="default"/>
      </w:rPr>
    </w:lvl>
    <w:lvl w:ilvl="8" w:tplc="04090005">
      <w:start w:val="1"/>
      <w:numFmt w:val="bullet"/>
      <w:lvlText w:val=""/>
      <w:lvlJc w:val="left"/>
      <w:pPr>
        <w:ind w:left="5220" w:hanging="360"/>
      </w:pPr>
      <w:rPr>
        <w:rFonts w:ascii="Wingdings" w:hAnsi="Wingdings" w:hint="default"/>
      </w:rPr>
    </w:lvl>
  </w:abstractNum>
  <w:abstractNum w:abstractNumId="17">
    <w:nsid w:val="36483477"/>
    <w:multiLevelType w:val="hybridMultilevel"/>
    <w:tmpl w:val="FE92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BE0C23"/>
    <w:multiLevelType w:val="hybridMultilevel"/>
    <w:tmpl w:val="8A6E090A"/>
    <w:lvl w:ilvl="0" w:tplc="11A2C9D6">
      <w:start w:val="1"/>
      <w:numFmt w:val="upperRoman"/>
      <w:lvlText w:val="%1."/>
      <w:lvlJc w:val="left"/>
      <w:pPr>
        <w:ind w:left="0" w:hanging="72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3DCE4FB7"/>
    <w:multiLevelType w:val="hybridMultilevel"/>
    <w:tmpl w:val="ECAE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2A3E5E"/>
    <w:multiLevelType w:val="hybridMultilevel"/>
    <w:tmpl w:val="A36A9D7A"/>
    <w:lvl w:ilvl="0" w:tplc="04090013">
      <w:start w:val="1"/>
      <w:numFmt w:val="upp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40426256"/>
    <w:multiLevelType w:val="hybridMultilevel"/>
    <w:tmpl w:val="795E8512"/>
    <w:lvl w:ilvl="0" w:tplc="0409000B">
      <w:start w:val="1"/>
      <w:numFmt w:val="bullet"/>
      <w:lvlText w:val=""/>
      <w:lvlJc w:val="left"/>
      <w:pPr>
        <w:ind w:left="585" w:hanging="360"/>
      </w:pPr>
      <w:rPr>
        <w:rFonts w:ascii="Wingdings" w:hAnsi="Wingdings"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2">
    <w:nsid w:val="40703A0C"/>
    <w:multiLevelType w:val="hybridMultilevel"/>
    <w:tmpl w:val="5156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911EF"/>
    <w:multiLevelType w:val="hybridMultilevel"/>
    <w:tmpl w:val="61C4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810620"/>
    <w:multiLevelType w:val="hybridMultilevel"/>
    <w:tmpl w:val="CCCEAEBC"/>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46A74B28"/>
    <w:multiLevelType w:val="hybridMultilevel"/>
    <w:tmpl w:val="18640A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D17B89"/>
    <w:multiLevelType w:val="hybridMultilevel"/>
    <w:tmpl w:val="19680EDC"/>
    <w:lvl w:ilvl="0" w:tplc="04090005">
      <w:start w:val="1"/>
      <w:numFmt w:val="bullet"/>
      <w:lvlText w:val=""/>
      <w:lvlJc w:val="left"/>
      <w:pPr>
        <w:ind w:left="-270" w:hanging="360"/>
      </w:pPr>
      <w:rPr>
        <w:rFonts w:ascii="Wingdings" w:hAnsi="Wingdings" w:hint="default"/>
      </w:rPr>
    </w:lvl>
    <w:lvl w:ilvl="1" w:tplc="8DCC720A">
      <w:start w:val="1"/>
      <w:numFmt w:val="bullet"/>
      <w:lvlText w:val="o"/>
      <w:lvlJc w:val="left"/>
      <w:pPr>
        <w:ind w:left="450" w:hanging="360"/>
      </w:pPr>
      <w:rPr>
        <w:rFonts w:ascii="Courier New" w:hAnsi="Courier New" w:cs="Courier New" w:hint="default"/>
        <w:sz w:val="20"/>
        <w:szCs w:val="20"/>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start w:val="1"/>
      <w:numFmt w:val="bullet"/>
      <w:lvlText w:val="o"/>
      <w:lvlJc w:val="left"/>
      <w:pPr>
        <w:ind w:left="2610" w:hanging="360"/>
      </w:pPr>
      <w:rPr>
        <w:rFonts w:ascii="Courier New" w:hAnsi="Courier New" w:cs="Courier New" w:hint="default"/>
      </w:rPr>
    </w:lvl>
    <w:lvl w:ilvl="5" w:tplc="04090005">
      <w:start w:val="1"/>
      <w:numFmt w:val="bullet"/>
      <w:lvlText w:val=""/>
      <w:lvlJc w:val="left"/>
      <w:pPr>
        <w:ind w:left="3330" w:hanging="360"/>
      </w:pPr>
      <w:rPr>
        <w:rFonts w:ascii="Wingdings" w:hAnsi="Wingdings" w:hint="default"/>
      </w:rPr>
    </w:lvl>
    <w:lvl w:ilvl="6" w:tplc="04090001">
      <w:start w:val="1"/>
      <w:numFmt w:val="bullet"/>
      <w:lvlText w:val=""/>
      <w:lvlJc w:val="left"/>
      <w:pPr>
        <w:ind w:left="4050" w:hanging="360"/>
      </w:pPr>
      <w:rPr>
        <w:rFonts w:ascii="Symbol" w:hAnsi="Symbol" w:hint="default"/>
      </w:rPr>
    </w:lvl>
    <w:lvl w:ilvl="7" w:tplc="04090003">
      <w:start w:val="1"/>
      <w:numFmt w:val="bullet"/>
      <w:lvlText w:val="o"/>
      <w:lvlJc w:val="left"/>
      <w:pPr>
        <w:ind w:left="4770" w:hanging="360"/>
      </w:pPr>
      <w:rPr>
        <w:rFonts w:ascii="Courier New" w:hAnsi="Courier New" w:cs="Courier New" w:hint="default"/>
      </w:rPr>
    </w:lvl>
    <w:lvl w:ilvl="8" w:tplc="04090005">
      <w:start w:val="1"/>
      <w:numFmt w:val="bullet"/>
      <w:lvlText w:val=""/>
      <w:lvlJc w:val="left"/>
      <w:pPr>
        <w:ind w:left="5490" w:hanging="360"/>
      </w:pPr>
      <w:rPr>
        <w:rFonts w:ascii="Wingdings" w:hAnsi="Wingdings" w:hint="default"/>
      </w:rPr>
    </w:lvl>
  </w:abstractNum>
  <w:abstractNum w:abstractNumId="27">
    <w:nsid w:val="4C20248F"/>
    <w:multiLevelType w:val="hybridMultilevel"/>
    <w:tmpl w:val="E2A697AA"/>
    <w:lvl w:ilvl="0" w:tplc="E84A00D8">
      <w:start w:val="1"/>
      <w:numFmt w:val="bullet"/>
      <w:lvlText w:val="o"/>
      <w:lvlJc w:val="left"/>
      <w:pPr>
        <w:ind w:left="450" w:hanging="360"/>
      </w:pPr>
      <w:rPr>
        <w:rFonts w:ascii="Courier New" w:hAnsi="Courier New" w:cs="Courier New" w:hint="default"/>
        <w:sz w:val="20"/>
        <w:szCs w:val="20"/>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8">
    <w:nsid w:val="53727C3A"/>
    <w:multiLevelType w:val="hybridMultilevel"/>
    <w:tmpl w:val="0C6CE1C8"/>
    <w:lvl w:ilvl="0" w:tplc="3B92DD1E">
      <w:start w:val="1"/>
      <w:numFmt w:val="bullet"/>
      <w:lvlText w:val=""/>
      <w:lvlJc w:val="left"/>
      <w:pPr>
        <w:ind w:left="3600" w:hanging="360"/>
      </w:pPr>
      <w:rPr>
        <w:rFonts w:ascii="Wingdings" w:hAnsi="Wingdings" w:hint="default"/>
        <w:sz w:val="20"/>
        <w:szCs w:val="2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599B52E7"/>
    <w:multiLevelType w:val="hybridMultilevel"/>
    <w:tmpl w:val="6672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F173A0"/>
    <w:multiLevelType w:val="hybridMultilevel"/>
    <w:tmpl w:val="64A81396"/>
    <w:lvl w:ilvl="0" w:tplc="DB56314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B775E"/>
    <w:multiLevelType w:val="hybridMultilevel"/>
    <w:tmpl w:val="54DCE380"/>
    <w:lvl w:ilvl="0" w:tplc="20C20B64">
      <w:start w:val="1"/>
      <w:numFmt w:val="upperRoman"/>
      <w:lvlText w:val="%1."/>
      <w:lvlJc w:val="right"/>
      <w:pPr>
        <w:ind w:left="720" w:hanging="360"/>
      </w:pPr>
      <w:rPr>
        <w:i/>
      </w:rPr>
    </w:lvl>
    <w:lvl w:ilvl="1" w:tplc="46FEF7F8">
      <w:start w:val="1"/>
      <w:numFmt w:val="lowerLetter"/>
      <w:lvlText w:val="%2."/>
      <w:lvlJc w:val="left"/>
      <w:pPr>
        <w:ind w:left="1440" w:hanging="360"/>
      </w:pPr>
      <w:rPr>
        <w:i w:val="0"/>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FD6285"/>
    <w:multiLevelType w:val="hybridMultilevel"/>
    <w:tmpl w:val="968E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7C62D1"/>
    <w:multiLevelType w:val="hybridMultilevel"/>
    <w:tmpl w:val="6994D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E003E"/>
    <w:multiLevelType w:val="hybridMultilevel"/>
    <w:tmpl w:val="CDF8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0542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9C33830"/>
    <w:multiLevelType w:val="hybridMultilevel"/>
    <w:tmpl w:val="783C071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730B303D"/>
    <w:multiLevelType w:val="hybridMultilevel"/>
    <w:tmpl w:val="B2FA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E45CCE"/>
    <w:multiLevelType w:val="hybridMultilevel"/>
    <w:tmpl w:val="476EDEF8"/>
    <w:lvl w:ilvl="0" w:tplc="04090003">
      <w:start w:val="1"/>
      <w:numFmt w:val="bullet"/>
      <w:lvlText w:val="o"/>
      <w:lvlJc w:val="left"/>
      <w:pPr>
        <w:ind w:left="45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num w:numId="1">
    <w:abstractNumId w:val="34"/>
  </w:num>
  <w:num w:numId="2">
    <w:abstractNumId w:val="29"/>
  </w:num>
  <w:num w:numId="3">
    <w:abstractNumId w:val="12"/>
  </w:num>
  <w:num w:numId="4">
    <w:abstractNumId w:val="6"/>
  </w:num>
  <w:num w:numId="5">
    <w:abstractNumId w:val="9"/>
  </w:num>
  <w:num w:numId="6">
    <w:abstractNumId w:val="1"/>
  </w:num>
  <w:num w:numId="7">
    <w:abstractNumId w:val="11"/>
  </w:num>
  <w:num w:numId="8">
    <w:abstractNumId w:val="2"/>
  </w:num>
  <w:num w:numId="9">
    <w:abstractNumId w:val="17"/>
  </w:num>
  <w:num w:numId="10">
    <w:abstractNumId w:val="36"/>
  </w:num>
  <w:num w:numId="11">
    <w:abstractNumId w:val="32"/>
  </w:num>
  <w:num w:numId="12">
    <w:abstractNumId w:val="14"/>
  </w:num>
  <w:num w:numId="13">
    <w:abstractNumId w:val="13"/>
  </w:num>
  <w:num w:numId="14">
    <w:abstractNumId w:val="10"/>
  </w:num>
  <w:num w:numId="15">
    <w:abstractNumId w:val="22"/>
  </w:num>
  <w:num w:numId="16">
    <w:abstractNumId w:val="5"/>
  </w:num>
  <w:num w:numId="17">
    <w:abstractNumId w:val="37"/>
  </w:num>
  <w:num w:numId="18">
    <w:abstractNumId w:val="0"/>
  </w:num>
  <w:num w:numId="19">
    <w:abstractNumId w:val="23"/>
  </w:num>
  <w:num w:numId="20">
    <w:abstractNumId w:val="19"/>
  </w:num>
  <w:num w:numId="21">
    <w:abstractNumId w:val="15"/>
  </w:num>
  <w:num w:numId="22">
    <w:abstractNumId w:val="33"/>
  </w:num>
  <w:num w:numId="23">
    <w:abstractNumId w:val="21"/>
  </w:num>
  <w:num w:numId="24">
    <w:abstractNumId w:val="25"/>
  </w:num>
  <w:num w:numId="25">
    <w:abstractNumId w:val="30"/>
  </w:num>
  <w:num w:numId="26">
    <w:abstractNumId w:val="3"/>
  </w:num>
  <w:num w:numId="27">
    <w:abstractNumId w:val="24"/>
  </w:num>
  <w:num w:numId="28">
    <w:abstractNumId w:val="8"/>
  </w:num>
  <w:num w:numId="29">
    <w:abstractNumId w:val="24"/>
  </w:num>
  <w:num w:numId="30">
    <w:abstractNumId w:val="26"/>
  </w:num>
  <w:num w:numId="31">
    <w:abstractNumId w:val="4"/>
  </w:num>
  <w:num w:numId="32">
    <w:abstractNumId w:val="38"/>
  </w:num>
  <w:num w:numId="33">
    <w:abstractNumId w:val="16"/>
  </w:num>
  <w:num w:numId="34">
    <w:abstractNumId w:val="27"/>
  </w:num>
  <w:num w:numId="35">
    <w:abstractNumId w:val="28"/>
  </w:num>
  <w:num w:numId="36">
    <w:abstractNumId w:val="18"/>
  </w:num>
  <w:num w:numId="37">
    <w:abstractNumId w:val="35"/>
  </w:num>
  <w:num w:numId="38">
    <w:abstractNumId w:val="20"/>
  </w:num>
  <w:num w:numId="39">
    <w:abstractNumId w:val="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3E7"/>
    <w:rsid w:val="00000538"/>
    <w:rsid w:val="0000173B"/>
    <w:rsid w:val="00001AF7"/>
    <w:rsid w:val="00002414"/>
    <w:rsid w:val="00003E46"/>
    <w:rsid w:val="00005EB2"/>
    <w:rsid w:val="000060FE"/>
    <w:rsid w:val="00007561"/>
    <w:rsid w:val="00013549"/>
    <w:rsid w:val="00016EB3"/>
    <w:rsid w:val="000212C7"/>
    <w:rsid w:val="00021622"/>
    <w:rsid w:val="00021F54"/>
    <w:rsid w:val="00022250"/>
    <w:rsid w:val="00023C9A"/>
    <w:rsid w:val="0002480C"/>
    <w:rsid w:val="00025A48"/>
    <w:rsid w:val="00030C22"/>
    <w:rsid w:val="000366F3"/>
    <w:rsid w:val="00037AD8"/>
    <w:rsid w:val="0004159C"/>
    <w:rsid w:val="0004178B"/>
    <w:rsid w:val="000426F6"/>
    <w:rsid w:val="00045BB9"/>
    <w:rsid w:val="000468A3"/>
    <w:rsid w:val="0005401A"/>
    <w:rsid w:val="0005771B"/>
    <w:rsid w:val="000626A6"/>
    <w:rsid w:val="00070198"/>
    <w:rsid w:val="00071964"/>
    <w:rsid w:val="00073E27"/>
    <w:rsid w:val="00074368"/>
    <w:rsid w:val="00074C16"/>
    <w:rsid w:val="000759C2"/>
    <w:rsid w:val="0007668C"/>
    <w:rsid w:val="000858C5"/>
    <w:rsid w:val="000867B6"/>
    <w:rsid w:val="0009340F"/>
    <w:rsid w:val="000943B0"/>
    <w:rsid w:val="000A1586"/>
    <w:rsid w:val="000A551C"/>
    <w:rsid w:val="000A55B0"/>
    <w:rsid w:val="000A70BF"/>
    <w:rsid w:val="000B0C94"/>
    <w:rsid w:val="000B4C2B"/>
    <w:rsid w:val="000B5171"/>
    <w:rsid w:val="000B6C19"/>
    <w:rsid w:val="000C02CA"/>
    <w:rsid w:val="000C459C"/>
    <w:rsid w:val="000C652F"/>
    <w:rsid w:val="000C6FBE"/>
    <w:rsid w:val="000D212D"/>
    <w:rsid w:val="000D2F59"/>
    <w:rsid w:val="000D6F21"/>
    <w:rsid w:val="000E3720"/>
    <w:rsid w:val="000E4073"/>
    <w:rsid w:val="000E6623"/>
    <w:rsid w:val="000E72C5"/>
    <w:rsid w:val="000E7A0E"/>
    <w:rsid w:val="000F1916"/>
    <w:rsid w:val="000F1F77"/>
    <w:rsid w:val="000F31EF"/>
    <w:rsid w:val="000F5E67"/>
    <w:rsid w:val="000F6962"/>
    <w:rsid w:val="00100C02"/>
    <w:rsid w:val="00101179"/>
    <w:rsid w:val="00103E9F"/>
    <w:rsid w:val="00113B81"/>
    <w:rsid w:val="00113FBA"/>
    <w:rsid w:val="00115E87"/>
    <w:rsid w:val="001167A8"/>
    <w:rsid w:val="00120602"/>
    <w:rsid w:val="00120CB0"/>
    <w:rsid w:val="001215BB"/>
    <w:rsid w:val="00121E54"/>
    <w:rsid w:val="001250D6"/>
    <w:rsid w:val="00125B01"/>
    <w:rsid w:val="001265D4"/>
    <w:rsid w:val="00126F64"/>
    <w:rsid w:val="001306BC"/>
    <w:rsid w:val="00131C15"/>
    <w:rsid w:val="00133031"/>
    <w:rsid w:val="0013347F"/>
    <w:rsid w:val="001433ED"/>
    <w:rsid w:val="00143685"/>
    <w:rsid w:val="00143BCC"/>
    <w:rsid w:val="00144725"/>
    <w:rsid w:val="001450BF"/>
    <w:rsid w:val="0014518E"/>
    <w:rsid w:val="001537AB"/>
    <w:rsid w:val="00156D6B"/>
    <w:rsid w:val="00165644"/>
    <w:rsid w:val="0016783C"/>
    <w:rsid w:val="001730AE"/>
    <w:rsid w:val="00175B57"/>
    <w:rsid w:val="00180568"/>
    <w:rsid w:val="00183121"/>
    <w:rsid w:val="00190269"/>
    <w:rsid w:val="00191848"/>
    <w:rsid w:val="00192C96"/>
    <w:rsid w:val="0019513A"/>
    <w:rsid w:val="001955AC"/>
    <w:rsid w:val="00196F22"/>
    <w:rsid w:val="001A0A02"/>
    <w:rsid w:val="001A1581"/>
    <w:rsid w:val="001A6106"/>
    <w:rsid w:val="001A6B84"/>
    <w:rsid w:val="001A714F"/>
    <w:rsid w:val="001A748C"/>
    <w:rsid w:val="001B1143"/>
    <w:rsid w:val="001B1BE6"/>
    <w:rsid w:val="001B380F"/>
    <w:rsid w:val="001B45AD"/>
    <w:rsid w:val="001B6562"/>
    <w:rsid w:val="001C0466"/>
    <w:rsid w:val="001C2316"/>
    <w:rsid w:val="001C5F86"/>
    <w:rsid w:val="001D08F3"/>
    <w:rsid w:val="001D512E"/>
    <w:rsid w:val="001D53C3"/>
    <w:rsid w:val="001E25DD"/>
    <w:rsid w:val="001E29E7"/>
    <w:rsid w:val="001E2CD1"/>
    <w:rsid w:val="001E3D01"/>
    <w:rsid w:val="001E4663"/>
    <w:rsid w:val="001E5120"/>
    <w:rsid w:val="001E6590"/>
    <w:rsid w:val="001F0642"/>
    <w:rsid w:val="001F0CEA"/>
    <w:rsid w:val="001F3712"/>
    <w:rsid w:val="001F49B9"/>
    <w:rsid w:val="001F5C5C"/>
    <w:rsid w:val="001F7C2F"/>
    <w:rsid w:val="00201231"/>
    <w:rsid w:val="00202669"/>
    <w:rsid w:val="002029C2"/>
    <w:rsid w:val="0020348C"/>
    <w:rsid w:val="00203A92"/>
    <w:rsid w:val="00204BA5"/>
    <w:rsid w:val="00207C98"/>
    <w:rsid w:val="00207CBB"/>
    <w:rsid w:val="00211192"/>
    <w:rsid w:val="00212120"/>
    <w:rsid w:val="00213344"/>
    <w:rsid w:val="002169B4"/>
    <w:rsid w:val="00216D13"/>
    <w:rsid w:val="002173C0"/>
    <w:rsid w:val="002226F8"/>
    <w:rsid w:val="002306A1"/>
    <w:rsid w:val="00230707"/>
    <w:rsid w:val="00230732"/>
    <w:rsid w:val="0023108E"/>
    <w:rsid w:val="002310D4"/>
    <w:rsid w:val="00232BDD"/>
    <w:rsid w:val="00233418"/>
    <w:rsid w:val="00234987"/>
    <w:rsid w:val="002378C9"/>
    <w:rsid w:val="00237A6A"/>
    <w:rsid w:val="00243A96"/>
    <w:rsid w:val="00246A01"/>
    <w:rsid w:val="00252975"/>
    <w:rsid w:val="002544AF"/>
    <w:rsid w:val="002575EA"/>
    <w:rsid w:val="00262D66"/>
    <w:rsid w:val="00264558"/>
    <w:rsid w:val="002725B4"/>
    <w:rsid w:val="002735DA"/>
    <w:rsid w:val="00273C07"/>
    <w:rsid w:val="00273C78"/>
    <w:rsid w:val="00274E4A"/>
    <w:rsid w:val="00283366"/>
    <w:rsid w:val="002835A0"/>
    <w:rsid w:val="00284764"/>
    <w:rsid w:val="00285597"/>
    <w:rsid w:val="00285D4F"/>
    <w:rsid w:val="00286A47"/>
    <w:rsid w:val="00286EDE"/>
    <w:rsid w:val="00294184"/>
    <w:rsid w:val="00296835"/>
    <w:rsid w:val="00296BBC"/>
    <w:rsid w:val="002A3A5A"/>
    <w:rsid w:val="002A3B05"/>
    <w:rsid w:val="002A3F73"/>
    <w:rsid w:val="002B3543"/>
    <w:rsid w:val="002B36FB"/>
    <w:rsid w:val="002B41D1"/>
    <w:rsid w:val="002B5B03"/>
    <w:rsid w:val="002C0693"/>
    <w:rsid w:val="002C0BED"/>
    <w:rsid w:val="002C0EF5"/>
    <w:rsid w:val="002C4FFD"/>
    <w:rsid w:val="002C7971"/>
    <w:rsid w:val="002D1996"/>
    <w:rsid w:val="002D1F90"/>
    <w:rsid w:val="002D463B"/>
    <w:rsid w:val="002D58B0"/>
    <w:rsid w:val="002E0840"/>
    <w:rsid w:val="002E088D"/>
    <w:rsid w:val="002E4026"/>
    <w:rsid w:val="002E4654"/>
    <w:rsid w:val="002E6266"/>
    <w:rsid w:val="002F39B6"/>
    <w:rsid w:val="0030121D"/>
    <w:rsid w:val="00303485"/>
    <w:rsid w:val="00303934"/>
    <w:rsid w:val="00303ED2"/>
    <w:rsid w:val="00306920"/>
    <w:rsid w:val="00306B76"/>
    <w:rsid w:val="00306E3F"/>
    <w:rsid w:val="00315755"/>
    <w:rsid w:val="00316961"/>
    <w:rsid w:val="003176C0"/>
    <w:rsid w:val="00321523"/>
    <w:rsid w:val="003230A1"/>
    <w:rsid w:val="00332C41"/>
    <w:rsid w:val="0033305F"/>
    <w:rsid w:val="00333536"/>
    <w:rsid w:val="003353A0"/>
    <w:rsid w:val="00340E32"/>
    <w:rsid w:val="00342BFA"/>
    <w:rsid w:val="0034308A"/>
    <w:rsid w:val="0034423A"/>
    <w:rsid w:val="0034428A"/>
    <w:rsid w:val="00344917"/>
    <w:rsid w:val="003458FA"/>
    <w:rsid w:val="00346F59"/>
    <w:rsid w:val="0035124E"/>
    <w:rsid w:val="00351867"/>
    <w:rsid w:val="00351E88"/>
    <w:rsid w:val="00355347"/>
    <w:rsid w:val="003601D6"/>
    <w:rsid w:val="003625EE"/>
    <w:rsid w:val="00363590"/>
    <w:rsid w:val="00364084"/>
    <w:rsid w:val="003640D4"/>
    <w:rsid w:val="003646B8"/>
    <w:rsid w:val="00364C54"/>
    <w:rsid w:val="00366FCE"/>
    <w:rsid w:val="00367349"/>
    <w:rsid w:val="003709D5"/>
    <w:rsid w:val="00370A52"/>
    <w:rsid w:val="00374112"/>
    <w:rsid w:val="00375A04"/>
    <w:rsid w:val="00380B1B"/>
    <w:rsid w:val="003836FE"/>
    <w:rsid w:val="003859C8"/>
    <w:rsid w:val="00391575"/>
    <w:rsid w:val="00392586"/>
    <w:rsid w:val="00393647"/>
    <w:rsid w:val="0039732A"/>
    <w:rsid w:val="003A0896"/>
    <w:rsid w:val="003A27F2"/>
    <w:rsid w:val="003A45DD"/>
    <w:rsid w:val="003A724B"/>
    <w:rsid w:val="003B07E9"/>
    <w:rsid w:val="003B0D90"/>
    <w:rsid w:val="003B121B"/>
    <w:rsid w:val="003B3276"/>
    <w:rsid w:val="003C0A43"/>
    <w:rsid w:val="003C101C"/>
    <w:rsid w:val="003C2350"/>
    <w:rsid w:val="003C26C7"/>
    <w:rsid w:val="003C40C2"/>
    <w:rsid w:val="003C4403"/>
    <w:rsid w:val="003D1079"/>
    <w:rsid w:val="003D5BF1"/>
    <w:rsid w:val="003D643B"/>
    <w:rsid w:val="003E2BD8"/>
    <w:rsid w:val="003E7201"/>
    <w:rsid w:val="003F242C"/>
    <w:rsid w:val="003F3AA2"/>
    <w:rsid w:val="003F4720"/>
    <w:rsid w:val="003F4982"/>
    <w:rsid w:val="003F5DF9"/>
    <w:rsid w:val="003F6F8D"/>
    <w:rsid w:val="004006FE"/>
    <w:rsid w:val="0040486A"/>
    <w:rsid w:val="00405032"/>
    <w:rsid w:val="00405C21"/>
    <w:rsid w:val="004064FE"/>
    <w:rsid w:val="0041537D"/>
    <w:rsid w:val="00421115"/>
    <w:rsid w:val="00422EC5"/>
    <w:rsid w:val="0042697C"/>
    <w:rsid w:val="004269CF"/>
    <w:rsid w:val="00427BC1"/>
    <w:rsid w:val="00431105"/>
    <w:rsid w:val="004401E3"/>
    <w:rsid w:val="004410AC"/>
    <w:rsid w:val="00442298"/>
    <w:rsid w:val="00442A26"/>
    <w:rsid w:val="00444083"/>
    <w:rsid w:val="0044421C"/>
    <w:rsid w:val="00444FD1"/>
    <w:rsid w:val="00451428"/>
    <w:rsid w:val="0045349B"/>
    <w:rsid w:val="0046063D"/>
    <w:rsid w:val="004623E7"/>
    <w:rsid w:val="00463DB9"/>
    <w:rsid w:val="00472899"/>
    <w:rsid w:val="00473912"/>
    <w:rsid w:val="0047443C"/>
    <w:rsid w:val="0047603C"/>
    <w:rsid w:val="00476412"/>
    <w:rsid w:val="00481466"/>
    <w:rsid w:val="004831AE"/>
    <w:rsid w:val="00486309"/>
    <w:rsid w:val="00487358"/>
    <w:rsid w:val="004875EA"/>
    <w:rsid w:val="00487792"/>
    <w:rsid w:val="00490732"/>
    <w:rsid w:val="00491DA5"/>
    <w:rsid w:val="0049582D"/>
    <w:rsid w:val="00495C8F"/>
    <w:rsid w:val="00495ED1"/>
    <w:rsid w:val="00497659"/>
    <w:rsid w:val="004A036D"/>
    <w:rsid w:val="004A1571"/>
    <w:rsid w:val="004A4FE9"/>
    <w:rsid w:val="004A5791"/>
    <w:rsid w:val="004B0225"/>
    <w:rsid w:val="004B3283"/>
    <w:rsid w:val="004B4640"/>
    <w:rsid w:val="004B6A63"/>
    <w:rsid w:val="004B7840"/>
    <w:rsid w:val="004C0C7F"/>
    <w:rsid w:val="004C0D3A"/>
    <w:rsid w:val="004C106F"/>
    <w:rsid w:val="004C66E7"/>
    <w:rsid w:val="004C6CF2"/>
    <w:rsid w:val="004C7044"/>
    <w:rsid w:val="004D0AC2"/>
    <w:rsid w:val="004D2EC1"/>
    <w:rsid w:val="004D7861"/>
    <w:rsid w:val="004E2060"/>
    <w:rsid w:val="004E3926"/>
    <w:rsid w:val="004E7844"/>
    <w:rsid w:val="004F20C4"/>
    <w:rsid w:val="004F32FB"/>
    <w:rsid w:val="004F6C86"/>
    <w:rsid w:val="00500619"/>
    <w:rsid w:val="00504DC7"/>
    <w:rsid w:val="005104B4"/>
    <w:rsid w:val="005120D8"/>
    <w:rsid w:val="00522393"/>
    <w:rsid w:val="00531F3F"/>
    <w:rsid w:val="005323B9"/>
    <w:rsid w:val="0053535B"/>
    <w:rsid w:val="00540DD7"/>
    <w:rsid w:val="00540F7E"/>
    <w:rsid w:val="005414C1"/>
    <w:rsid w:val="00541544"/>
    <w:rsid w:val="00544A61"/>
    <w:rsid w:val="00546624"/>
    <w:rsid w:val="00546909"/>
    <w:rsid w:val="00554B28"/>
    <w:rsid w:val="0055541C"/>
    <w:rsid w:val="0056027A"/>
    <w:rsid w:val="00561046"/>
    <w:rsid w:val="00563955"/>
    <w:rsid w:val="0056694A"/>
    <w:rsid w:val="00567579"/>
    <w:rsid w:val="00567C73"/>
    <w:rsid w:val="00575DB0"/>
    <w:rsid w:val="00576787"/>
    <w:rsid w:val="005779C9"/>
    <w:rsid w:val="00580A4B"/>
    <w:rsid w:val="005810AC"/>
    <w:rsid w:val="00593B60"/>
    <w:rsid w:val="005975BA"/>
    <w:rsid w:val="005A0B6D"/>
    <w:rsid w:val="005A2C00"/>
    <w:rsid w:val="005A6939"/>
    <w:rsid w:val="005B0029"/>
    <w:rsid w:val="005B41DA"/>
    <w:rsid w:val="005B58B4"/>
    <w:rsid w:val="005C4B9A"/>
    <w:rsid w:val="005C65E3"/>
    <w:rsid w:val="005C7616"/>
    <w:rsid w:val="005D078F"/>
    <w:rsid w:val="005D23D3"/>
    <w:rsid w:val="005D6A40"/>
    <w:rsid w:val="005E0B64"/>
    <w:rsid w:val="005E24BE"/>
    <w:rsid w:val="005E2764"/>
    <w:rsid w:val="005E3F77"/>
    <w:rsid w:val="005E4D76"/>
    <w:rsid w:val="005E7128"/>
    <w:rsid w:val="005E74AE"/>
    <w:rsid w:val="005E7D8B"/>
    <w:rsid w:val="005F006B"/>
    <w:rsid w:val="005F1761"/>
    <w:rsid w:val="005F1E4D"/>
    <w:rsid w:val="005F4013"/>
    <w:rsid w:val="005F622B"/>
    <w:rsid w:val="005F6C03"/>
    <w:rsid w:val="005F77AE"/>
    <w:rsid w:val="0060111E"/>
    <w:rsid w:val="006101A8"/>
    <w:rsid w:val="00614884"/>
    <w:rsid w:val="00614D51"/>
    <w:rsid w:val="00621CE1"/>
    <w:rsid w:val="00624B52"/>
    <w:rsid w:val="00625F63"/>
    <w:rsid w:val="00626DAE"/>
    <w:rsid w:val="006324DD"/>
    <w:rsid w:val="00634C34"/>
    <w:rsid w:val="00640A30"/>
    <w:rsid w:val="00642FDB"/>
    <w:rsid w:val="00643BD4"/>
    <w:rsid w:val="00646240"/>
    <w:rsid w:val="00651E72"/>
    <w:rsid w:val="00655D19"/>
    <w:rsid w:val="006560CB"/>
    <w:rsid w:val="006625F4"/>
    <w:rsid w:val="00666CA3"/>
    <w:rsid w:val="00667E41"/>
    <w:rsid w:val="00667E79"/>
    <w:rsid w:val="006702FB"/>
    <w:rsid w:val="0067200D"/>
    <w:rsid w:val="0067585C"/>
    <w:rsid w:val="00677337"/>
    <w:rsid w:val="00682CC3"/>
    <w:rsid w:val="00687768"/>
    <w:rsid w:val="006901F0"/>
    <w:rsid w:val="00691078"/>
    <w:rsid w:val="006931CF"/>
    <w:rsid w:val="006968F8"/>
    <w:rsid w:val="006A0721"/>
    <w:rsid w:val="006A74F9"/>
    <w:rsid w:val="006B08CE"/>
    <w:rsid w:val="006B27CF"/>
    <w:rsid w:val="006B58B7"/>
    <w:rsid w:val="006B64D1"/>
    <w:rsid w:val="006C0F7E"/>
    <w:rsid w:val="006C4C9C"/>
    <w:rsid w:val="006C6457"/>
    <w:rsid w:val="006D08B6"/>
    <w:rsid w:val="006D257B"/>
    <w:rsid w:val="006D2DF1"/>
    <w:rsid w:val="006D31A9"/>
    <w:rsid w:val="006D4237"/>
    <w:rsid w:val="006D6662"/>
    <w:rsid w:val="006D66BC"/>
    <w:rsid w:val="006E01D1"/>
    <w:rsid w:val="006E6832"/>
    <w:rsid w:val="006E7D7A"/>
    <w:rsid w:val="006F1783"/>
    <w:rsid w:val="006F2F45"/>
    <w:rsid w:val="007043D9"/>
    <w:rsid w:val="00707250"/>
    <w:rsid w:val="00710546"/>
    <w:rsid w:val="00713265"/>
    <w:rsid w:val="007139B6"/>
    <w:rsid w:val="00713E0A"/>
    <w:rsid w:val="00714BF6"/>
    <w:rsid w:val="00720D60"/>
    <w:rsid w:val="00722EBD"/>
    <w:rsid w:val="00726860"/>
    <w:rsid w:val="00734CCA"/>
    <w:rsid w:val="00736227"/>
    <w:rsid w:val="00740BA1"/>
    <w:rsid w:val="0074215A"/>
    <w:rsid w:val="007426C6"/>
    <w:rsid w:val="00742C02"/>
    <w:rsid w:val="00743CC8"/>
    <w:rsid w:val="007442FE"/>
    <w:rsid w:val="007447F1"/>
    <w:rsid w:val="00746273"/>
    <w:rsid w:val="00746601"/>
    <w:rsid w:val="0074674A"/>
    <w:rsid w:val="007501C7"/>
    <w:rsid w:val="00751A82"/>
    <w:rsid w:val="00752727"/>
    <w:rsid w:val="0075401A"/>
    <w:rsid w:val="0075540E"/>
    <w:rsid w:val="00756F78"/>
    <w:rsid w:val="00761B33"/>
    <w:rsid w:val="007620B0"/>
    <w:rsid w:val="00762D2E"/>
    <w:rsid w:val="007701F9"/>
    <w:rsid w:val="00771F3B"/>
    <w:rsid w:val="00776242"/>
    <w:rsid w:val="007768A4"/>
    <w:rsid w:val="00776DCC"/>
    <w:rsid w:val="00783E3D"/>
    <w:rsid w:val="0078551B"/>
    <w:rsid w:val="00791A04"/>
    <w:rsid w:val="00793CC9"/>
    <w:rsid w:val="007955CA"/>
    <w:rsid w:val="007A4DD5"/>
    <w:rsid w:val="007A64FD"/>
    <w:rsid w:val="007B428D"/>
    <w:rsid w:val="007B5896"/>
    <w:rsid w:val="007B63D2"/>
    <w:rsid w:val="007B67A5"/>
    <w:rsid w:val="007C49A8"/>
    <w:rsid w:val="007D231D"/>
    <w:rsid w:val="007D3B1C"/>
    <w:rsid w:val="007E136C"/>
    <w:rsid w:val="007E1492"/>
    <w:rsid w:val="007E62F1"/>
    <w:rsid w:val="007F14DD"/>
    <w:rsid w:val="007F4B32"/>
    <w:rsid w:val="007F50A8"/>
    <w:rsid w:val="00803D17"/>
    <w:rsid w:val="00805560"/>
    <w:rsid w:val="0081253B"/>
    <w:rsid w:val="0081382C"/>
    <w:rsid w:val="008154FA"/>
    <w:rsid w:val="00816B34"/>
    <w:rsid w:val="00821BB8"/>
    <w:rsid w:val="00825627"/>
    <w:rsid w:val="00826F32"/>
    <w:rsid w:val="00827C3B"/>
    <w:rsid w:val="00830997"/>
    <w:rsid w:val="00835023"/>
    <w:rsid w:val="00835D3C"/>
    <w:rsid w:val="00842608"/>
    <w:rsid w:val="00844DE2"/>
    <w:rsid w:val="00845B6F"/>
    <w:rsid w:val="00856711"/>
    <w:rsid w:val="00862ED2"/>
    <w:rsid w:val="00864BBE"/>
    <w:rsid w:val="00870697"/>
    <w:rsid w:val="00872F73"/>
    <w:rsid w:val="00873BAA"/>
    <w:rsid w:val="008817D1"/>
    <w:rsid w:val="00887204"/>
    <w:rsid w:val="00891EE0"/>
    <w:rsid w:val="00893979"/>
    <w:rsid w:val="008977A4"/>
    <w:rsid w:val="008A346F"/>
    <w:rsid w:val="008A791A"/>
    <w:rsid w:val="008B6100"/>
    <w:rsid w:val="008C4DA1"/>
    <w:rsid w:val="008C5C53"/>
    <w:rsid w:val="008C6BFC"/>
    <w:rsid w:val="008C7D7E"/>
    <w:rsid w:val="008D07FB"/>
    <w:rsid w:val="008D081E"/>
    <w:rsid w:val="008D270F"/>
    <w:rsid w:val="008D4D95"/>
    <w:rsid w:val="008D5EE4"/>
    <w:rsid w:val="008E0AD2"/>
    <w:rsid w:val="008E3791"/>
    <w:rsid w:val="008E469E"/>
    <w:rsid w:val="008E5499"/>
    <w:rsid w:val="008E738E"/>
    <w:rsid w:val="008F6FBC"/>
    <w:rsid w:val="0090166A"/>
    <w:rsid w:val="00905203"/>
    <w:rsid w:val="009128E4"/>
    <w:rsid w:val="0091424E"/>
    <w:rsid w:val="009170FB"/>
    <w:rsid w:val="00920648"/>
    <w:rsid w:val="00920F81"/>
    <w:rsid w:val="00920FE8"/>
    <w:rsid w:val="00925952"/>
    <w:rsid w:val="0092626B"/>
    <w:rsid w:val="00927141"/>
    <w:rsid w:val="0092798E"/>
    <w:rsid w:val="00936176"/>
    <w:rsid w:val="00936427"/>
    <w:rsid w:val="00937072"/>
    <w:rsid w:val="00937C50"/>
    <w:rsid w:val="00937EE4"/>
    <w:rsid w:val="009400CF"/>
    <w:rsid w:val="0094276C"/>
    <w:rsid w:val="009430DC"/>
    <w:rsid w:val="00946004"/>
    <w:rsid w:val="0094676D"/>
    <w:rsid w:val="00947176"/>
    <w:rsid w:val="0094776F"/>
    <w:rsid w:val="0095338A"/>
    <w:rsid w:val="009564D7"/>
    <w:rsid w:val="00956958"/>
    <w:rsid w:val="009613EE"/>
    <w:rsid w:val="009617CD"/>
    <w:rsid w:val="0096219A"/>
    <w:rsid w:val="0096448B"/>
    <w:rsid w:val="00964CE7"/>
    <w:rsid w:val="00967E80"/>
    <w:rsid w:val="009709F2"/>
    <w:rsid w:val="00970E26"/>
    <w:rsid w:val="00971220"/>
    <w:rsid w:val="009733E7"/>
    <w:rsid w:val="009756FB"/>
    <w:rsid w:val="00975706"/>
    <w:rsid w:val="009775FD"/>
    <w:rsid w:val="0098049B"/>
    <w:rsid w:val="009855BC"/>
    <w:rsid w:val="009916FF"/>
    <w:rsid w:val="009919A8"/>
    <w:rsid w:val="009A18F7"/>
    <w:rsid w:val="009A5582"/>
    <w:rsid w:val="009A6311"/>
    <w:rsid w:val="009A6671"/>
    <w:rsid w:val="009A788D"/>
    <w:rsid w:val="009B0293"/>
    <w:rsid w:val="009B123B"/>
    <w:rsid w:val="009B30B1"/>
    <w:rsid w:val="009B5382"/>
    <w:rsid w:val="009B6615"/>
    <w:rsid w:val="009B676F"/>
    <w:rsid w:val="009B7329"/>
    <w:rsid w:val="009C32E8"/>
    <w:rsid w:val="009C511A"/>
    <w:rsid w:val="009C5795"/>
    <w:rsid w:val="009C7317"/>
    <w:rsid w:val="009D00CB"/>
    <w:rsid w:val="009D0A1E"/>
    <w:rsid w:val="009D0DA5"/>
    <w:rsid w:val="009D429E"/>
    <w:rsid w:val="009D4B2A"/>
    <w:rsid w:val="009D73C9"/>
    <w:rsid w:val="009D73CE"/>
    <w:rsid w:val="009E1F88"/>
    <w:rsid w:val="009E3487"/>
    <w:rsid w:val="009E47C7"/>
    <w:rsid w:val="009E614B"/>
    <w:rsid w:val="009E7380"/>
    <w:rsid w:val="009F0772"/>
    <w:rsid w:val="009F1F0F"/>
    <w:rsid w:val="009F5D6A"/>
    <w:rsid w:val="00A01068"/>
    <w:rsid w:val="00A03250"/>
    <w:rsid w:val="00A11A6D"/>
    <w:rsid w:val="00A120E7"/>
    <w:rsid w:val="00A14C62"/>
    <w:rsid w:val="00A15FA6"/>
    <w:rsid w:val="00A2341C"/>
    <w:rsid w:val="00A24B7A"/>
    <w:rsid w:val="00A27D62"/>
    <w:rsid w:val="00A30D41"/>
    <w:rsid w:val="00A35DCF"/>
    <w:rsid w:val="00A36459"/>
    <w:rsid w:val="00A37AEF"/>
    <w:rsid w:val="00A4373E"/>
    <w:rsid w:val="00A4457F"/>
    <w:rsid w:val="00A456A2"/>
    <w:rsid w:val="00A45754"/>
    <w:rsid w:val="00A524FB"/>
    <w:rsid w:val="00A54DD8"/>
    <w:rsid w:val="00A66A75"/>
    <w:rsid w:val="00A66BED"/>
    <w:rsid w:val="00A67248"/>
    <w:rsid w:val="00A6724B"/>
    <w:rsid w:val="00A70E2A"/>
    <w:rsid w:val="00A7316D"/>
    <w:rsid w:val="00A753B4"/>
    <w:rsid w:val="00A80B80"/>
    <w:rsid w:val="00A84714"/>
    <w:rsid w:val="00A91054"/>
    <w:rsid w:val="00A91E23"/>
    <w:rsid w:val="00A91EF6"/>
    <w:rsid w:val="00A92724"/>
    <w:rsid w:val="00A941B4"/>
    <w:rsid w:val="00AA6237"/>
    <w:rsid w:val="00AA6922"/>
    <w:rsid w:val="00AB1FF7"/>
    <w:rsid w:val="00AB55CD"/>
    <w:rsid w:val="00AB7CB5"/>
    <w:rsid w:val="00AB7DC3"/>
    <w:rsid w:val="00AB7F69"/>
    <w:rsid w:val="00AC3F87"/>
    <w:rsid w:val="00AD2D5D"/>
    <w:rsid w:val="00AD4E11"/>
    <w:rsid w:val="00AE0806"/>
    <w:rsid w:val="00AE456A"/>
    <w:rsid w:val="00AF0742"/>
    <w:rsid w:val="00AF0C0C"/>
    <w:rsid w:val="00AF0D0A"/>
    <w:rsid w:val="00AF1B76"/>
    <w:rsid w:val="00AF24F9"/>
    <w:rsid w:val="00AF306B"/>
    <w:rsid w:val="00AF3B03"/>
    <w:rsid w:val="00AF4224"/>
    <w:rsid w:val="00AF4759"/>
    <w:rsid w:val="00AF4D1B"/>
    <w:rsid w:val="00AF4F63"/>
    <w:rsid w:val="00AF5387"/>
    <w:rsid w:val="00AF697D"/>
    <w:rsid w:val="00AF7D87"/>
    <w:rsid w:val="00B003C4"/>
    <w:rsid w:val="00B01C2F"/>
    <w:rsid w:val="00B05823"/>
    <w:rsid w:val="00B1588A"/>
    <w:rsid w:val="00B166EC"/>
    <w:rsid w:val="00B1760D"/>
    <w:rsid w:val="00B24DEE"/>
    <w:rsid w:val="00B264A8"/>
    <w:rsid w:val="00B27A12"/>
    <w:rsid w:val="00B35129"/>
    <w:rsid w:val="00B41BBE"/>
    <w:rsid w:val="00B42494"/>
    <w:rsid w:val="00B4304D"/>
    <w:rsid w:val="00B43380"/>
    <w:rsid w:val="00B43C06"/>
    <w:rsid w:val="00B45E87"/>
    <w:rsid w:val="00B51507"/>
    <w:rsid w:val="00B55024"/>
    <w:rsid w:val="00B57373"/>
    <w:rsid w:val="00B632BD"/>
    <w:rsid w:val="00B64485"/>
    <w:rsid w:val="00B702CB"/>
    <w:rsid w:val="00B72770"/>
    <w:rsid w:val="00B73C3F"/>
    <w:rsid w:val="00B76C87"/>
    <w:rsid w:val="00B77A97"/>
    <w:rsid w:val="00B81F99"/>
    <w:rsid w:val="00B831ED"/>
    <w:rsid w:val="00B83617"/>
    <w:rsid w:val="00B8683C"/>
    <w:rsid w:val="00B86F5A"/>
    <w:rsid w:val="00B874AC"/>
    <w:rsid w:val="00B963B0"/>
    <w:rsid w:val="00BA00CC"/>
    <w:rsid w:val="00BA11DD"/>
    <w:rsid w:val="00BA1B4A"/>
    <w:rsid w:val="00BA250A"/>
    <w:rsid w:val="00BA3FAA"/>
    <w:rsid w:val="00BA4C77"/>
    <w:rsid w:val="00BB3C57"/>
    <w:rsid w:val="00BB6987"/>
    <w:rsid w:val="00BD45BF"/>
    <w:rsid w:val="00BD5E8F"/>
    <w:rsid w:val="00BE14C9"/>
    <w:rsid w:val="00BE2A3F"/>
    <w:rsid w:val="00BE4C8C"/>
    <w:rsid w:val="00BE52AA"/>
    <w:rsid w:val="00BE530F"/>
    <w:rsid w:val="00BE6F32"/>
    <w:rsid w:val="00BF24BD"/>
    <w:rsid w:val="00BF282C"/>
    <w:rsid w:val="00BF3BC3"/>
    <w:rsid w:val="00BF593B"/>
    <w:rsid w:val="00BF6726"/>
    <w:rsid w:val="00C00BCF"/>
    <w:rsid w:val="00C031C0"/>
    <w:rsid w:val="00C035D6"/>
    <w:rsid w:val="00C036F2"/>
    <w:rsid w:val="00C0562E"/>
    <w:rsid w:val="00C0628F"/>
    <w:rsid w:val="00C1181A"/>
    <w:rsid w:val="00C13035"/>
    <w:rsid w:val="00C138F6"/>
    <w:rsid w:val="00C149D5"/>
    <w:rsid w:val="00C15F37"/>
    <w:rsid w:val="00C16DBC"/>
    <w:rsid w:val="00C2334E"/>
    <w:rsid w:val="00C234AB"/>
    <w:rsid w:val="00C24C2D"/>
    <w:rsid w:val="00C24EF9"/>
    <w:rsid w:val="00C25676"/>
    <w:rsid w:val="00C259E2"/>
    <w:rsid w:val="00C27C65"/>
    <w:rsid w:val="00C30099"/>
    <w:rsid w:val="00C33639"/>
    <w:rsid w:val="00C37003"/>
    <w:rsid w:val="00C5012E"/>
    <w:rsid w:val="00C5056F"/>
    <w:rsid w:val="00C54050"/>
    <w:rsid w:val="00C601AF"/>
    <w:rsid w:val="00C6059A"/>
    <w:rsid w:val="00C60FC4"/>
    <w:rsid w:val="00C6180F"/>
    <w:rsid w:val="00C61B55"/>
    <w:rsid w:val="00C62C78"/>
    <w:rsid w:val="00C70E3B"/>
    <w:rsid w:val="00C727D2"/>
    <w:rsid w:val="00C73BFF"/>
    <w:rsid w:val="00C744FD"/>
    <w:rsid w:val="00C74A6B"/>
    <w:rsid w:val="00C753E8"/>
    <w:rsid w:val="00C756F5"/>
    <w:rsid w:val="00C75D4A"/>
    <w:rsid w:val="00C81FA9"/>
    <w:rsid w:val="00C834D6"/>
    <w:rsid w:val="00C86D8B"/>
    <w:rsid w:val="00C87501"/>
    <w:rsid w:val="00C908A0"/>
    <w:rsid w:val="00C90CB1"/>
    <w:rsid w:val="00C92E43"/>
    <w:rsid w:val="00C93701"/>
    <w:rsid w:val="00C95FDB"/>
    <w:rsid w:val="00C964F5"/>
    <w:rsid w:val="00C974FF"/>
    <w:rsid w:val="00C97661"/>
    <w:rsid w:val="00CA0A0D"/>
    <w:rsid w:val="00CA29B2"/>
    <w:rsid w:val="00CA563F"/>
    <w:rsid w:val="00CB0024"/>
    <w:rsid w:val="00CB2080"/>
    <w:rsid w:val="00CB6485"/>
    <w:rsid w:val="00CC1D32"/>
    <w:rsid w:val="00CC7667"/>
    <w:rsid w:val="00CD407C"/>
    <w:rsid w:val="00CD43B6"/>
    <w:rsid w:val="00CD49FE"/>
    <w:rsid w:val="00CD722C"/>
    <w:rsid w:val="00CD7E22"/>
    <w:rsid w:val="00CE14DA"/>
    <w:rsid w:val="00CE50B9"/>
    <w:rsid w:val="00CE6539"/>
    <w:rsid w:val="00CE7425"/>
    <w:rsid w:val="00CF00FC"/>
    <w:rsid w:val="00D00C67"/>
    <w:rsid w:val="00D0179C"/>
    <w:rsid w:val="00D05D3D"/>
    <w:rsid w:val="00D0786F"/>
    <w:rsid w:val="00D144FF"/>
    <w:rsid w:val="00D1654C"/>
    <w:rsid w:val="00D20A45"/>
    <w:rsid w:val="00D2310A"/>
    <w:rsid w:val="00D233D3"/>
    <w:rsid w:val="00D249C6"/>
    <w:rsid w:val="00D26178"/>
    <w:rsid w:val="00D26359"/>
    <w:rsid w:val="00D26AD9"/>
    <w:rsid w:val="00D27ABD"/>
    <w:rsid w:val="00D30027"/>
    <w:rsid w:val="00D32BA2"/>
    <w:rsid w:val="00D32C64"/>
    <w:rsid w:val="00D32CD5"/>
    <w:rsid w:val="00D339B6"/>
    <w:rsid w:val="00D35863"/>
    <w:rsid w:val="00D366F4"/>
    <w:rsid w:val="00D378A1"/>
    <w:rsid w:val="00D40A23"/>
    <w:rsid w:val="00D42E85"/>
    <w:rsid w:val="00D44401"/>
    <w:rsid w:val="00D51D26"/>
    <w:rsid w:val="00D54054"/>
    <w:rsid w:val="00D54153"/>
    <w:rsid w:val="00D56819"/>
    <w:rsid w:val="00D56E50"/>
    <w:rsid w:val="00D62A04"/>
    <w:rsid w:val="00D66731"/>
    <w:rsid w:val="00D7480F"/>
    <w:rsid w:val="00D7535C"/>
    <w:rsid w:val="00D762F2"/>
    <w:rsid w:val="00D82BDA"/>
    <w:rsid w:val="00D9055C"/>
    <w:rsid w:val="00D930F6"/>
    <w:rsid w:val="00D93E7E"/>
    <w:rsid w:val="00D944D8"/>
    <w:rsid w:val="00D9757A"/>
    <w:rsid w:val="00D97C8D"/>
    <w:rsid w:val="00DA0F32"/>
    <w:rsid w:val="00DA42DB"/>
    <w:rsid w:val="00DA71BE"/>
    <w:rsid w:val="00DA7BFA"/>
    <w:rsid w:val="00DB044D"/>
    <w:rsid w:val="00DB3BD0"/>
    <w:rsid w:val="00DB4A62"/>
    <w:rsid w:val="00DB4FD5"/>
    <w:rsid w:val="00DB74A1"/>
    <w:rsid w:val="00DC3334"/>
    <w:rsid w:val="00DC426F"/>
    <w:rsid w:val="00DD451F"/>
    <w:rsid w:val="00DD7DD6"/>
    <w:rsid w:val="00DF17B3"/>
    <w:rsid w:val="00DF41B2"/>
    <w:rsid w:val="00DF4671"/>
    <w:rsid w:val="00DF477D"/>
    <w:rsid w:val="00E21264"/>
    <w:rsid w:val="00E25092"/>
    <w:rsid w:val="00E2652F"/>
    <w:rsid w:val="00E27241"/>
    <w:rsid w:val="00E303A9"/>
    <w:rsid w:val="00E33F70"/>
    <w:rsid w:val="00E345C9"/>
    <w:rsid w:val="00E3780C"/>
    <w:rsid w:val="00E37C45"/>
    <w:rsid w:val="00E4093E"/>
    <w:rsid w:val="00E4129F"/>
    <w:rsid w:val="00E42A84"/>
    <w:rsid w:val="00E440C7"/>
    <w:rsid w:val="00E4499B"/>
    <w:rsid w:val="00E44E58"/>
    <w:rsid w:val="00E46B74"/>
    <w:rsid w:val="00E52265"/>
    <w:rsid w:val="00E561F9"/>
    <w:rsid w:val="00E571DA"/>
    <w:rsid w:val="00E57EDF"/>
    <w:rsid w:val="00E7120C"/>
    <w:rsid w:val="00E74838"/>
    <w:rsid w:val="00E74AFC"/>
    <w:rsid w:val="00E8010F"/>
    <w:rsid w:val="00E8083D"/>
    <w:rsid w:val="00E810C5"/>
    <w:rsid w:val="00E82D95"/>
    <w:rsid w:val="00E836D6"/>
    <w:rsid w:val="00E83821"/>
    <w:rsid w:val="00E853AF"/>
    <w:rsid w:val="00E85EF4"/>
    <w:rsid w:val="00E860D8"/>
    <w:rsid w:val="00E915C2"/>
    <w:rsid w:val="00E9286E"/>
    <w:rsid w:val="00E93E56"/>
    <w:rsid w:val="00E94091"/>
    <w:rsid w:val="00E94985"/>
    <w:rsid w:val="00EA40B6"/>
    <w:rsid w:val="00EA6485"/>
    <w:rsid w:val="00EB27F3"/>
    <w:rsid w:val="00EB4C8B"/>
    <w:rsid w:val="00EB68E6"/>
    <w:rsid w:val="00EB6A77"/>
    <w:rsid w:val="00EB793C"/>
    <w:rsid w:val="00EC0FAE"/>
    <w:rsid w:val="00EC507C"/>
    <w:rsid w:val="00ED2943"/>
    <w:rsid w:val="00ED4235"/>
    <w:rsid w:val="00ED60F9"/>
    <w:rsid w:val="00EE04F9"/>
    <w:rsid w:val="00EE211E"/>
    <w:rsid w:val="00EE4B69"/>
    <w:rsid w:val="00EE5520"/>
    <w:rsid w:val="00EF0297"/>
    <w:rsid w:val="00EF67C4"/>
    <w:rsid w:val="00EF7328"/>
    <w:rsid w:val="00EF7E9D"/>
    <w:rsid w:val="00F00DC1"/>
    <w:rsid w:val="00F035DE"/>
    <w:rsid w:val="00F04A9F"/>
    <w:rsid w:val="00F11B93"/>
    <w:rsid w:val="00F11CBC"/>
    <w:rsid w:val="00F124E8"/>
    <w:rsid w:val="00F145EE"/>
    <w:rsid w:val="00F208B9"/>
    <w:rsid w:val="00F23A26"/>
    <w:rsid w:val="00F25104"/>
    <w:rsid w:val="00F26943"/>
    <w:rsid w:val="00F275E6"/>
    <w:rsid w:val="00F27880"/>
    <w:rsid w:val="00F30099"/>
    <w:rsid w:val="00F34E97"/>
    <w:rsid w:val="00F4585A"/>
    <w:rsid w:val="00F47EFD"/>
    <w:rsid w:val="00F5445C"/>
    <w:rsid w:val="00F55282"/>
    <w:rsid w:val="00F63B8A"/>
    <w:rsid w:val="00F65603"/>
    <w:rsid w:val="00F66035"/>
    <w:rsid w:val="00F70856"/>
    <w:rsid w:val="00F718E3"/>
    <w:rsid w:val="00F71D8E"/>
    <w:rsid w:val="00F73818"/>
    <w:rsid w:val="00F73C99"/>
    <w:rsid w:val="00F73DDD"/>
    <w:rsid w:val="00F74BE3"/>
    <w:rsid w:val="00F7552E"/>
    <w:rsid w:val="00F80C86"/>
    <w:rsid w:val="00F8236C"/>
    <w:rsid w:val="00F82A9F"/>
    <w:rsid w:val="00F86C62"/>
    <w:rsid w:val="00F9064C"/>
    <w:rsid w:val="00F91CF4"/>
    <w:rsid w:val="00F9352E"/>
    <w:rsid w:val="00F95027"/>
    <w:rsid w:val="00F967FD"/>
    <w:rsid w:val="00F9739D"/>
    <w:rsid w:val="00F97700"/>
    <w:rsid w:val="00FA0CD6"/>
    <w:rsid w:val="00FA0D85"/>
    <w:rsid w:val="00FA4F58"/>
    <w:rsid w:val="00FB2BC3"/>
    <w:rsid w:val="00FB3030"/>
    <w:rsid w:val="00FB5619"/>
    <w:rsid w:val="00FC07AD"/>
    <w:rsid w:val="00FC08F7"/>
    <w:rsid w:val="00FC1039"/>
    <w:rsid w:val="00FC6997"/>
    <w:rsid w:val="00FD1161"/>
    <w:rsid w:val="00FD39D1"/>
    <w:rsid w:val="00FD3FC5"/>
    <w:rsid w:val="00FD7637"/>
    <w:rsid w:val="00FE0A9A"/>
    <w:rsid w:val="00FE5278"/>
    <w:rsid w:val="00FE6253"/>
    <w:rsid w:val="00FE768B"/>
    <w:rsid w:val="00FF714F"/>
    <w:rsid w:val="00FF7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3D3"/>
    <w:pPr>
      <w:jc w:val="both"/>
    </w:pPr>
    <w:rPr>
      <w:rFonts w:ascii="Century Gothic" w:hAnsi="Century Gothic"/>
      <w:sz w:val="20"/>
      <w:szCs w:val="20"/>
    </w:rPr>
  </w:style>
  <w:style w:type="paragraph" w:styleId="Heading1">
    <w:name w:val="heading 1"/>
    <w:basedOn w:val="Normal"/>
    <w:next w:val="Normal"/>
    <w:link w:val="Heading1Char"/>
    <w:uiPriority w:val="9"/>
    <w:qFormat/>
    <w:rsid w:val="00856711"/>
    <w:pPr>
      <w:keepNext/>
      <w:keepLines/>
      <w:spacing w:before="240" w:after="240"/>
      <w:outlineLvl w:val="0"/>
    </w:pPr>
    <w:rPr>
      <w:rFonts w:eastAsiaTheme="majorEastAsia" w:cstheme="majorBidi"/>
      <w:b/>
      <w:bCs/>
      <w:sz w:val="48"/>
      <w:szCs w:val="28"/>
    </w:rPr>
  </w:style>
  <w:style w:type="paragraph" w:styleId="Heading2">
    <w:name w:val="heading 2"/>
    <w:basedOn w:val="Normal"/>
    <w:next w:val="Normal"/>
    <w:link w:val="Heading2Char"/>
    <w:autoRedefine/>
    <w:uiPriority w:val="9"/>
    <w:unhideWhenUsed/>
    <w:qFormat/>
    <w:rsid w:val="008C5C53"/>
    <w:pPr>
      <w:keepNext/>
      <w:keepLines/>
      <w:tabs>
        <w:tab w:val="left" w:pos="-90"/>
      </w:tabs>
      <w:spacing w:before="200"/>
      <w:ind w:left="-720" w:right="-720"/>
      <w:outlineLvl w:val="1"/>
    </w:pPr>
    <w:rPr>
      <w:rFonts w:eastAsiaTheme="majorEastAsia" w:cstheme="majorBidi"/>
      <w:b/>
      <w:bCs/>
      <w:color w:val="4A442A" w:themeColor="background2" w:themeShade="40"/>
      <w:sz w:val="26"/>
      <w:szCs w:val="26"/>
    </w:rPr>
  </w:style>
  <w:style w:type="paragraph" w:styleId="Heading3">
    <w:name w:val="heading 3"/>
    <w:basedOn w:val="Normal"/>
    <w:next w:val="Normal"/>
    <w:link w:val="Heading3Char"/>
    <w:uiPriority w:val="9"/>
    <w:unhideWhenUsed/>
    <w:qFormat/>
    <w:rsid w:val="00BD5E8F"/>
    <w:pPr>
      <w:keepNext/>
      <w:keepLines/>
      <w:spacing w:before="200" w:after="120"/>
      <w:outlineLvl w:val="2"/>
    </w:pPr>
    <w:rPr>
      <w:rFonts w:eastAsiaTheme="majorEastAsia" w:cstheme="majorBidi"/>
      <w:b/>
      <w:b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3E7"/>
  </w:style>
  <w:style w:type="paragraph" w:styleId="Footer">
    <w:name w:val="footer"/>
    <w:basedOn w:val="Normal"/>
    <w:link w:val="FooterChar"/>
    <w:uiPriority w:val="99"/>
    <w:unhideWhenUsed/>
    <w:rsid w:val="00462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3E7"/>
  </w:style>
  <w:style w:type="paragraph" w:styleId="BalloonText">
    <w:name w:val="Balloon Text"/>
    <w:basedOn w:val="Normal"/>
    <w:link w:val="BalloonTextChar"/>
    <w:uiPriority w:val="99"/>
    <w:semiHidden/>
    <w:unhideWhenUsed/>
    <w:rsid w:val="00462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3E7"/>
    <w:rPr>
      <w:rFonts w:ascii="Tahoma" w:hAnsi="Tahoma" w:cs="Tahoma"/>
      <w:sz w:val="16"/>
      <w:szCs w:val="16"/>
    </w:rPr>
  </w:style>
  <w:style w:type="character" w:customStyle="1" w:styleId="Heading1Char">
    <w:name w:val="Heading 1 Char"/>
    <w:basedOn w:val="DefaultParagraphFont"/>
    <w:link w:val="Heading1"/>
    <w:uiPriority w:val="9"/>
    <w:rsid w:val="00856711"/>
    <w:rPr>
      <w:rFonts w:ascii="Century Gothic" w:eastAsiaTheme="majorEastAsia" w:hAnsi="Century Gothic" w:cstheme="majorBidi"/>
      <w:b/>
      <w:bCs/>
      <w:sz w:val="48"/>
      <w:szCs w:val="28"/>
    </w:rPr>
  </w:style>
  <w:style w:type="character" w:customStyle="1" w:styleId="Heading2Char">
    <w:name w:val="Heading 2 Char"/>
    <w:basedOn w:val="DefaultParagraphFont"/>
    <w:link w:val="Heading2"/>
    <w:uiPriority w:val="9"/>
    <w:rsid w:val="008C5C53"/>
    <w:rPr>
      <w:rFonts w:ascii="Century Gothic" w:eastAsiaTheme="majorEastAsia" w:hAnsi="Century Gothic" w:cstheme="majorBidi"/>
      <w:b/>
      <w:bCs/>
      <w:color w:val="4A442A" w:themeColor="background2" w:themeShade="40"/>
      <w:sz w:val="26"/>
      <w:szCs w:val="26"/>
    </w:rPr>
  </w:style>
  <w:style w:type="paragraph" w:styleId="EndnoteText">
    <w:name w:val="endnote text"/>
    <w:basedOn w:val="Normal"/>
    <w:link w:val="EndnoteTextChar"/>
    <w:uiPriority w:val="99"/>
    <w:semiHidden/>
    <w:unhideWhenUsed/>
    <w:rsid w:val="00713E0A"/>
    <w:pPr>
      <w:spacing w:after="0" w:line="240" w:lineRule="auto"/>
    </w:pPr>
  </w:style>
  <w:style w:type="character" w:customStyle="1" w:styleId="EndnoteTextChar">
    <w:name w:val="Endnote Text Char"/>
    <w:basedOn w:val="DefaultParagraphFont"/>
    <w:link w:val="EndnoteText"/>
    <w:uiPriority w:val="99"/>
    <w:semiHidden/>
    <w:rsid w:val="00713E0A"/>
    <w:rPr>
      <w:sz w:val="20"/>
      <w:szCs w:val="20"/>
    </w:rPr>
  </w:style>
  <w:style w:type="character" w:styleId="EndnoteReference">
    <w:name w:val="endnote reference"/>
    <w:basedOn w:val="DefaultParagraphFont"/>
    <w:uiPriority w:val="99"/>
    <w:semiHidden/>
    <w:unhideWhenUsed/>
    <w:rsid w:val="00713E0A"/>
    <w:rPr>
      <w:vertAlign w:val="superscript"/>
    </w:rPr>
  </w:style>
  <w:style w:type="paragraph" w:styleId="FootnoteText">
    <w:name w:val="footnote text"/>
    <w:basedOn w:val="Normal"/>
    <w:link w:val="FootnoteTextChar"/>
    <w:uiPriority w:val="99"/>
    <w:semiHidden/>
    <w:unhideWhenUsed/>
    <w:rsid w:val="00713E0A"/>
    <w:pPr>
      <w:spacing w:after="0" w:line="240" w:lineRule="auto"/>
    </w:pPr>
  </w:style>
  <w:style w:type="character" w:customStyle="1" w:styleId="FootnoteTextChar">
    <w:name w:val="Footnote Text Char"/>
    <w:basedOn w:val="DefaultParagraphFont"/>
    <w:link w:val="FootnoteText"/>
    <w:uiPriority w:val="99"/>
    <w:semiHidden/>
    <w:rsid w:val="00713E0A"/>
    <w:rPr>
      <w:sz w:val="20"/>
      <w:szCs w:val="20"/>
    </w:rPr>
  </w:style>
  <w:style w:type="character" w:styleId="FootnoteReference">
    <w:name w:val="footnote reference"/>
    <w:basedOn w:val="DefaultParagraphFont"/>
    <w:uiPriority w:val="99"/>
    <w:semiHidden/>
    <w:unhideWhenUsed/>
    <w:rsid w:val="00713E0A"/>
    <w:rPr>
      <w:vertAlign w:val="superscript"/>
    </w:rPr>
  </w:style>
  <w:style w:type="character" w:styleId="Hyperlink">
    <w:name w:val="Hyperlink"/>
    <w:basedOn w:val="DefaultParagraphFont"/>
    <w:uiPriority w:val="99"/>
    <w:unhideWhenUsed/>
    <w:rsid w:val="00713E0A"/>
    <w:rPr>
      <w:color w:val="0000FF" w:themeColor="hyperlink"/>
      <w:u w:val="single"/>
    </w:rPr>
  </w:style>
  <w:style w:type="paragraph" w:styleId="ListParagraph">
    <w:name w:val="List Paragraph"/>
    <w:basedOn w:val="Normal"/>
    <w:uiPriority w:val="34"/>
    <w:qFormat/>
    <w:rsid w:val="00776242"/>
    <w:pPr>
      <w:ind w:left="720"/>
      <w:contextualSpacing/>
    </w:pPr>
  </w:style>
  <w:style w:type="paragraph" w:styleId="NormalWeb">
    <w:name w:val="Normal (Web)"/>
    <w:basedOn w:val="Normal"/>
    <w:uiPriority w:val="99"/>
    <w:semiHidden/>
    <w:unhideWhenUsed/>
    <w:rsid w:val="001F5C5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264A8"/>
    <w:rPr>
      <w:color w:val="800080" w:themeColor="followedHyperlink"/>
      <w:u w:val="single"/>
    </w:rPr>
  </w:style>
  <w:style w:type="paragraph" w:styleId="Caption">
    <w:name w:val="caption"/>
    <w:basedOn w:val="Normal"/>
    <w:next w:val="Normal"/>
    <w:uiPriority w:val="35"/>
    <w:unhideWhenUsed/>
    <w:qFormat/>
    <w:rsid w:val="000B0C94"/>
    <w:pPr>
      <w:spacing w:line="240" w:lineRule="auto"/>
    </w:pPr>
    <w:rPr>
      <w:b/>
      <w:bCs/>
      <w:color w:val="4F81BD" w:themeColor="accent1"/>
      <w:sz w:val="18"/>
      <w:szCs w:val="18"/>
    </w:rPr>
  </w:style>
  <w:style w:type="table" w:styleId="TableGrid">
    <w:name w:val="Table Grid"/>
    <w:basedOn w:val="TableNormal"/>
    <w:uiPriority w:val="59"/>
    <w:rsid w:val="00887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D5E8F"/>
    <w:rPr>
      <w:rFonts w:ascii="Century Gothic" w:eastAsiaTheme="majorEastAsia" w:hAnsi="Century Gothic" w:cstheme="majorBidi"/>
      <w:b/>
      <w:bCs/>
      <w:color w:val="4A442A" w:themeColor="background2" w:themeShade="40"/>
      <w:sz w:val="20"/>
      <w:szCs w:val="20"/>
    </w:rPr>
  </w:style>
  <w:style w:type="paragraph" w:customStyle="1" w:styleId="Default">
    <w:name w:val="Default"/>
    <w:rsid w:val="00DF4671"/>
    <w:pPr>
      <w:autoSpaceDE w:val="0"/>
      <w:autoSpaceDN w:val="0"/>
      <w:adjustRightInd w:val="0"/>
      <w:spacing w:after="0" w:line="240" w:lineRule="auto"/>
    </w:pPr>
    <w:rPr>
      <w:rFonts w:ascii="Myriad Pro Cond" w:hAnsi="Myriad Pro Cond" w:cs="Myriad Pro Cond"/>
      <w:color w:val="000000"/>
      <w:sz w:val="24"/>
      <w:szCs w:val="24"/>
    </w:rPr>
  </w:style>
  <w:style w:type="table" w:customStyle="1" w:styleId="ColorfulList-Accent613">
    <w:name w:val="Colorful List - Accent 613"/>
    <w:basedOn w:val="TableNormal"/>
    <w:next w:val="ColorfulList-Accent6"/>
    <w:uiPriority w:val="72"/>
    <w:rsid w:val="008977A4"/>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6">
    <w:name w:val="Colorful List Accent 6"/>
    <w:basedOn w:val="TableNormal"/>
    <w:uiPriority w:val="72"/>
    <w:rsid w:val="008977A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
    <w:name w:val="Colorful List - Accent 61"/>
    <w:basedOn w:val="TableNormal"/>
    <w:next w:val="ColorfulList-Accent6"/>
    <w:uiPriority w:val="72"/>
    <w:rsid w:val="000A551C"/>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
    <w:name w:val="Colorful List - Accent 611"/>
    <w:basedOn w:val="TableNormal"/>
    <w:next w:val="ColorfulList-Accent6"/>
    <w:uiPriority w:val="72"/>
    <w:rsid w:val="000A551C"/>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2">
    <w:name w:val="Colorful List - Accent 612"/>
    <w:basedOn w:val="TableNormal"/>
    <w:next w:val="ColorfulList-Accent6"/>
    <w:uiPriority w:val="72"/>
    <w:rsid w:val="00243A96"/>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TOC1">
    <w:name w:val="toc 1"/>
    <w:basedOn w:val="Normal"/>
    <w:next w:val="Normal"/>
    <w:autoRedefine/>
    <w:uiPriority w:val="39"/>
    <w:unhideWhenUsed/>
    <w:rsid w:val="00970E26"/>
    <w:pPr>
      <w:tabs>
        <w:tab w:val="right" w:leader="dot" w:pos="9350"/>
      </w:tabs>
      <w:spacing w:after="100"/>
    </w:pPr>
    <w:rPr>
      <w:noProof/>
      <w:sz w:val="24"/>
      <w:szCs w:val="24"/>
    </w:rPr>
  </w:style>
  <w:style w:type="paragraph" w:styleId="TOC2">
    <w:name w:val="toc 2"/>
    <w:basedOn w:val="Normal"/>
    <w:next w:val="Normal"/>
    <w:autoRedefine/>
    <w:uiPriority w:val="39"/>
    <w:unhideWhenUsed/>
    <w:rsid w:val="00CC1D32"/>
    <w:pPr>
      <w:spacing w:after="100"/>
      <w:ind w:left="200"/>
    </w:pPr>
  </w:style>
  <w:style w:type="table" w:customStyle="1" w:styleId="ColorfulList-Accent614">
    <w:name w:val="Colorful List - Accent 614"/>
    <w:basedOn w:val="TableNormal"/>
    <w:next w:val="ColorfulList-Accent6"/>
    <w:uiPriority w:val="72"/>
    <w:rsid w:val="00EF7E9D"/>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2-Accent2">
    <w:name w:val="Medium Shading 2 Accent 2"/>
    <w:basedOn w:val="TableNormal"/>
    <w:uiPriority w:val="64"/>
    <w:rsid w:val="007B42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7B42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2">
    <w:name w:val="Medium Grid 2 Accent 2"/>
    <w:basedOn w:val="TableNormal"/>
    <w:uiPriority w:val="68"/>
    <w:rsid w:val="007B42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List">
    <w:name w:val="Colorful List"/>
    <w:basedOn w:val="TableNormal"/>
    <w:uiPriority w:val="72"/>
    <w:rsid w:val="007B428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615">
    <w:name w:val="Colorful List - Accent 615"/>
    <w:basedOn w:val="TableNormal"/>
    <w:next w:val="ColorfulList-Accent6"/>
    <w:uiPriority w:val="72"/>
    <w:rsid w:val="002F39B6"/>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Shading-Accent6">
    <w:name w:val="Light Shading Accent 6"/>
    <w:basedOn w:val="TableNormal"/>
    <w:uiPriority w:val="60"/>
    <w:rsid w:val="002F39B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ColorfulList-Accent616">
    <w:name w:val="Colorful List - Accent 616"/>
    <w:basedOn w:val="TableNormal"/>
    <w:next w:val="ColorfulList-Accent6"/>
    <w:uiPriority w:val="72"/>
    <w:rsid w:val="002F39B6"/>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7">
    <w:name w:val="Colorful List - Accent 617"/>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8">
    <w:name w:val="Colorful List - Accent 618"/>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9">
    <w:name w:val="Colorful List - Accent 619"/>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0">
    <w:name w:val="Colorful List - Accent 6110"/>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1">
    <w:name w:val="Colorful List - Accent 6111"/>
    <w:basedOn w:val="TableNormal"/>
    <w:next w:val="ColorfulList-Accent6"/>
    <w:uiPriority w:val="72"/>
    <w:rsid w:val="00E561F9"/>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2">
    <w:name w:val="Colorful List - Accent 6112"/>
    <w:basedOn w:val="TableNormal"/>
    <w:next w:val="ColorfulList-Accent6"/>
    <w:uiPriority w:val="72"/>
    <w:rsid w:val="00E561F9"/>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3">
    <w:name w:val="Colorful List - Accent 6113"/>
    <w:basedOn w:val="TableNormal"/>
    <w:next w:val="ColorfulList-Accent6"/>
    <w:uiPriority w:val="72"/>
    <w:rsid w:val="00DB4A62"/>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422EC5"/>
    <w:rPr>
      <w:sz w:val="16"/>
      <w:szCs w:val="16"/>
    </w:rPr>
  </w:style>
  <w:style w:type="paragraph" w:styleId="CommentText">
    <w:name w:val="annotation text"/>
    <w:basedOn w:val="Normal"/>
    <w:link w:val="CommentTextChar"/>
    <w:uiPriority w:val="99"/>
    <w:semiHidden/>
    <w:unhideWhenUsed/>
    <w:rsid w:val="00422EC5"/>
    <w:pPr>
      <w:spacing w:line="240" w:lineRule="auto"/>
    </w:pPr>
  </w:style>
  <w:style w:type="character" w:customStyle="1" w:styleId="CommentTextChar">
    <w:name w:val="Comment Text Char"/>
    <w:basedOn w:val="DefaultParagraphFont"/>
    <w:link w:val="CommentText"/>
    <w:uiPriority w:val="99"/>
    <w:semiHidden/>
    <w:rsid w:val="00422EC5"/>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22EC5"/>
    <w:rPr>
      <w:b/>
      <w:bCs/>
    </w:rPr>
  </w:style>
  <w:style w:type="character" w:customStyle="1" w:styleId="CommentSubjectChar">
    <w:name w:val="Comment Subject Char"/>
    <w:basedOn w:val="CommentTextChar"/>
    <w:link w:val="CommentSubject"/>
    <w:uiPriority w:val="99"/>
    <w:semiHidden/>
    <w:rsid w:val="00422EC5"/>
    <w:rPr>
      <w:rFonts w:ascii="Century Gothic" w:hAnsi="Century Gothic"/>
      <w:b/>
      <w:bCs/>
      <w:sz w:val="20"/>
      <w:szCs w:val="20"/>
    </w:rPr>
  </w:style>
  <w:style w:type="paragraph" w:styleId="Revision">
    <w:name w:val="Revision"/>
    <w:hidden/>
    <w:uiPriority w:val="99"/>
    <w:semiHidden/>
    <w:rsid w:val="00E94091"/>
    <w:pPr>
      <w:spacing w:after="0" w:line="240" w:lineRule="auto"/>
    </w:pPr>
    <w:rPr>
      <w:rFonts w:ascii="Century Gothic" w:hAnsi="Century Gothi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3D3"/>
    <w:pPr>
      <w:jc w:val="both"/>
    </w:pPr>
    <w:rPr>
      <w:rFonts w:ascii="Century Gothic" w:hAnsi="Century Gothic"/>
      <w:sz w:val="20"/>
      <w:szCs w:val="20"/>
    </w:rPr>
  </w:style>
  <w:style w:type="paragraph" w:styleId="Heading1">
    <w:name w:val="heading 1"/>
    <w:basedOn w:val="Normal"/>
    <w:next w:val="Normal"/>
    <w:link w:val="Heading1Char"/>
    <w:uiPriority w:val="9"/>
    <w:qFormat/>
    <w:rsid w:val="00856711"/>
    <w:pPr>
      <w:keepNext/>
      <w:keepLines/>
      <w:spacing w:before="240" w:after="240"/>
      <w:outlineLvl w:val="0"/>
    </w:pPr>
    <w:rPr>
      <w:rFonts w:eastAsiaTheme="majorEastAsia" w:cstheme="majorBidi"/>
      <w:b/>
      <w:bCs/>
      <w:sz w:val="48"/>
      <w:szCs w:val="28"/>
    </w:rPr>
  </w:style>
  <w:style w:type="paragraph" w:styleId="Heading2">
    <w:name w:val="heading 2"/>
    <w:basedOn w:val="Normal"/>
    <w:next w:val="Normal"/>
    <w:link w:val="Heading2Char"/>
    <w:autoRedefine/>
    <w:uiPriority w:val="9"/>
    <w:unhideWhenUsed/>
    <w:qFormat/>
    <w:rsid w:val="008C5C53"/>
    <w:pPr>
      <w:keepNext/>
      <w:keepLines/>
      <w:tabs>
        <w:tab w:val="left" w:pos="-90"/>
      </w:tabs>
      <w:spacing w:before="200"/>
      <w:ind w:left="-720" w:right="-720"/>
      <w:outlineLvl w:val="1"/>
    </w:pPr>
    <w:rPr>
      <w:rFonts w:eastAsiaTheme="majorEastAsia" w:cstheme="majorBidi"/>
      <w:b/>
      <w:bCs/>
      <w:color w:val="4A442A" w:themeColor="background2" w:themeShade="40"/>
      <w:sz w:val="26"/>
      <w:szCs w:val="26"/>
    </w:rPr>
  </w:style>
  <w:style w:type="paragraph" w:styleId="Heading3">
    <w:name w:val="heading 3"/>
    <w:basedOn w:val="Normal"/>
    <w:next w:val="Normal"/>
    <w:link w:val="Heading3Char"/>
    <w:uiPriority w:val="9"/>
    <w:unhideWhenUsed/>
    <w:qFormat/>
    <w:rsid w:val="00BD5E8F"/>
    <w:pPr>
      <w:keepNext/>
      <w:keepLines/>
      <w:spacing w:before="200" w:after="120"/>
      <w:outlineLvl w:val="2"/>
    </w:pPr>
    <w:rPr>
      <w:rFonts w:eastAsiaTheme="majorEastAsia" w:cstheme="majorBidi"/>
      <w:b/>
      <w:b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3E7"/>
  </w:style>
  <w:style w:type="paragraph" w:styleId="Footer">
    <w:name w:val="footer"/>
    <w:basedOn w:val="Normal"/>
    <w:link w:val="FooterChar"/>
    <w:uiPriority w:val="99"/>
    <w:unhideWhenUsed/>
    <w:rsid w:val="00462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3E7"/>
  </w:style>
  <w:style w:type="paragraph" w:styleId="BalloonText">
    <w:name w:val="Balloon Text"/>
    <w:basedOn w:val="Normal"/>
    <w:link w:val="BalloonTextChar"/>
    <w:uiPriority w:val="99"/>
    <w:semiHidden/>
    <w:unhideWhenUsed/>
    <w:rsid w:val="00462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3E7"/>
    <w:rPr>
      <w:rFonts w:ascii="Tahoma" w:hAnsi="Tahoma" w:cs="Tahoma"/>
      <w:sz w:val="16"/>
      <w:szCs w:val="16"/>
    </w:rPr>
  </w:style>
  <w:style w:type="character" w:customStyle="1" w:styleId="Heading1Char">
    <w:name w:val="Heading 1 Char"/>
    <w:basedOn w:val="DefaultParagraphFont"/>
    <w:link w:val="Heading1"/>
    <w:uiPriority w:val="9"/>
    <w:rsid w:val="00856711"/>
    <w:rPr>
      <w:rFonts w:ascii="Century Gothic" w:eastAsiaTheme="majorEastAsia" w:hAnsi="Century Gothic" w:cstheme="majorBidi"/>
      <w:b/>
      <w:bCs/>
      <w:sz w:val="48"/>
      <w:szCs w:val="28"/>
    </w:rPr>
  </w:style>
  <w:style w:type="character" w:customStyle="1" w:styleId="Heading2Char">
    <w:name w:val="Heading 2 Char"/>
    <w:basedOn w:val="DefaultParagraphFont"/>
    <w:link w:val="Heading2"/>
    <w:uiPriority w:val="9"/>
    <w:rsid w:val="008C5C53"/>
    <w:rPr>
      <w:rFonts w:ascii="Century Gothic" w:eastAsiaTheme="majorEastAsia" w:hAnsi="Century Gothic" w:cstheme="majorBidi"/>
      <w:b/>
      <w:bCs/>
      <w:color w:val="4A442A" w:themeColor="background2" w:themeShade="40"/>
      <w:sz w:val="26"/>
      <w:szCs w:val="26"/>
    </w:rPr>
  </w:style>
  <w:style w:type="paragraph" w:styleId="EndnoteText">
    <w:name w:val="endnote text"/>
    <w:basedOn w:val="Normal"/>
    <w:link w:val="EndnoteTextChar"/>
    <w:uiPriority w:val="99"/>
    <w:semiHidden/>
    <w:unhideWhenUsed/>
    <w:rsid w:val="00713E0A"/>
    <w:pPr>
      <w:spacing w:after="0" w:line="240" w:lineRule="auto"/>
    </w:pPr>
  </w:style>
  <w:style w:type="character" w:customStyle="1" w:styleId="EndnoteTextChar">
    <w:name w:val="Endnote Text Char"/>
    <w:basedOn w:val="DefaultParagraphFont"/>
    <w:link w:val="EndnoteText"/>
    <w:uiPriority w:val="99"/>
    <w:semiHidden/>
    <w:rsid w:val="00713E0A"/>
    <w:rPr>
      <w:sz w:val="20"/>
      <w:szCs w:val="20"/>
    </w:rPr>
  </w:style>
  <w:style w:type="character" w:styleId="EndnoteReference">
    <w:name w:val="endnote reference"/>
    <w:basedOn w:val="DefaultParagraphFont"/>
    <w:uiPriority w:val="99"/>
    <w:semiHidden/>
    <w:unhideWhenUsed/>
    <w:rsid w:val="00713E0A"/>
    <w:rPr>
      <w:vertAlign w:val="superscript"/>
    </w:rPr>
  </w:style>
  <w:style w:type="paragraph" w:styleId="FootnoteText">
    <w:name w:val="footnote text"/>
    <w:basedOn w:val="Normal"/>
    <w:link w:val="FootnoteTextChar"/>
    <w:uiPriority w:val="99"/>
    <w:semiHidden/>
    <w:unhideWhenUsed/>
    <w:rsid w:val="00713E0A"/>
    <w:pPr>
      <w:spacing w:after="0" w:line="240" w:lineRule="auto"/>
    </w:pPr>
  </w:style>
  <w:style w:type="character" w:customStyle="1" w:styleId="FootnoteTextChar">
    <w:name w:val="Footnote Text Char"/>
    <w:basedOn w:val="DefaultParagraphFont"/>
    <w:link w:val="FootnoteText"/>
    <w:uiPriority w:val="99"/>
    <w:semiHidden/>
    <w:rsid w:val="00713E0A"/>
    <w:rPr>
      <w:sz w:val="20"/>
      <w:szCs w:val="20"/>
    </w:rPr>
  </w:style>
  <w:style w:type="character" w:styleId="FootnoteReference">
    <w:name w:val="footnote reference"/>
    <w:basedOn w:val="DefaultParagraphFont"/>
    <w:uiPriority w:val="99"/>
    <w:semiHidden/>
    <w:unhideWhenUsed/>
    <w:rsid w:val="00713E0A"/>
    <w:rPr>
      <w:vertAlign w:val="superscript"/>
    </w:rPr>
  </w:style>
  <w:style w:type="character" w:styleId="Hyperlink">
    <w:name w:val="Hyperlink"/>
    <w:basedOn w:val="DefaultParagraphFont"/>
    <w:uiPriority w:val="99"/>
    <w:unhideWhenUsed/>
    <w:rsid w:val="00713E0A"/>
    <w:rPr>
      <w:color w:val="0000FF" w:themeColor="hyperlink"/>
      <w:u w:val="single"/>
    </w:rPr>
  </w:style>
  <w:style w:type="paragraph" w:styleId="ListParagraph">
    <w:name w:val="List Paragraph"/>
    <w:basedOn w:val="Normal"/>
    <w:uiPriority w:val="34"/>
    <w:qFormat/>
    <w:rsid w:val="00776242"/>
    <w:pPr>
      <w:ind w:left="720"/>
      <w:contextualSpacing/>
    </w:pPr>
  </w:style>
  <w:style w:type="paragraph" w:styleId="NormalWeb">
    <w:name w:val="Normal (Web)"/>
    <w:basedOn w:val="Normal"/>
    <w:uiPriority w:val="99"/>
    <w:semiHidden/>
    <w:unhideWhenUsed/>
    <w:rsid w:val="001F5C5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264A8"/>
    <w:rPr>
      <w:color w:val="800080" w:themeColor="followedHyperlink"/>
      <w:u w:val="single"/>
    </w:rPr>
  </w:style>
  <w:style w:type="paragraph" w:styleId="Caption">
    <w:name w:val="caption"/>
    <w:basedOn w:val="Normal"/>
    <w:next w:val="Normal"/>
    <w:uiPriority w:val="35"/>
    <w:unhideWhenUsed/>
    <w:qFormat/>
    <w:rsid w:val="000B0C94"/>
    <w:pPr>
      <w:spacing w:line="240" w:lineRule="auto"/>
    </w:pPr>
    <w:rPr>
      <w:b/>
      <w:bCs/>
      <w:color w:val="4F81BD" w:themeColor="accent1"/>
      <w:sz w:val="18"/>
      <w:szCs w:val="18"/>
    </w:rPr>
  </w:style>
  <w:style w:type="table" w:styleId="TableGrid">
    <w:name w:val="Table Grid"/>
    <w:basedOn w:val="TableNormal"/>
    <w:uiPriority w:val="59"/>
    <w:rsid w:val="00887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D5E8F"/>
    <w:rPr>
      <w:rFonts w:ascii="Century Gothic" w:eastAsiaTheme="majorEastAsia" w:hAnsi="Century Gothic" w:cstheme="majorBidi"/>
      <w:b/>
      <w:bCs/>
      <w:color w:val="4A442A" w:themeColor="background2" w:themeShade="40"/>
      <w:sz w:val="20"/>
      <w:szCs w:val="20"/>
    </w:rPr>
  </w:style>
  <w:style w:type="paragraph" w:customStyle="1" w:styleId="Default">
    <w:name w:val="Default"/>
    <w:rsid w:val="00DF4671"/>
    <w:pPr>
      <w:autoSpaceDE w:val="0"/>
      <w:autoSpaceDN w:val="0"/>
      <w:adjustRightInd w:val="0"/>
      <w:spacing w:after="0" w:line="240" w:lineRule="auto"/>
    </w:pPr>
    <w:rPr>
      <w:rFonts w:ascii="Myriad Pro Cond" w:hAnsi="Myriad Pro Cond" w:cs="Myriad Pro Cond"/>
      <w:color w:val="000000"/>
      <w:sz w:val="24"/>
      <w:szCs w:val="24"/>
    </w:rPr>
  </w:style>
  <w:style w:type="table" w:customStyle="1" w:styleId="ColorfulList-Accent613">
    <w:name w:val="Colorful List - Accent 613"/>
    <w:basedOn w:val="TableNormal"/>
    <w:next w:val="ColorfulList-Accent6"/>
    <w:uiPriority w:val="72"/>
    <w:rsid w:val="008977A4"/>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6">
    <w:name w:val="Colorful List Accent 6"/>
    <w:basedOn w:val="TableNormal"/>
    <w:uiPriority w:val="72"/>
    <w:rsid w:val="008977A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
    <w:name w:val="Colorful List - Accent 61"/>
    <w:basedOn w:val="TableNormal"/>
    <w:next w:val="ColorfulList-Accent6"/>
    <w:uiPriority w:val="72"/>
    <w:rsid w:val="000A551C"/>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
    <w:name w:val="Colorful List - Accent 611"/>
    <w:basedOn w:val="TableNormal"/>
    <w:next w:val="ColorfulList-Accent6"/>
    <w:uiPriority w:val="72"/>
    <w:rsid w:val="000A551C"/>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2">
    <w:name w:val="Colorful List - Accent 612"/>
    <w:basedOn w:val="TableNormal"/>
    <w:next w:val="ColorfulList-Accent6"/>
    <w:uiPriority w:val="72"/>
    <w:rsid w:val="00243A96"/>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TOC1">
    <w:name w:val="toc 1"/>
    <w:basedOn w:val="Normal"/>
    <w:next w:val="Normal"/>
    <w:autoRedefine/>
    <w:uiPriority w:val="39"/>
    <w:unhideWhenUsed/>
    <w:rsid w:val="00970E26"/>
    <w:pPr>
      <w:tabs>
        <w:tab w:val="right" w:leader="dot" w:pos="9350"/>
      </w:tabs>
      <w:spacing w:after="100"/>
    </w:pPr>
    <w:rPr>
      <w:noProof/>
      <w:sz w:val="24"/>
      <w:szCs w:val="24"/>
    </w:rPr>
  </w:style>
  <w:style w:type="paragraph" w:styleId="TOC2">
    <w:name w:val="toc 2"/>
    <w:basedOn w:val="Normal"/>
    <w:next w:val="Normal"/>
    <w:autoRedefine/>
    <w:uiPriority w:val="39"/>
    <w:unhideWhenUsed/>
    <w:rsid w:val="00CC1D32"/>
    <w:pPr>
      <w:spacing w:after="100"/>
      <w:ind w:left="200"/>
    </w:pPr>
  </w:style>
  <w:style w:type="table" w:customStyle="1" w:styleId="ColorfulList-Accent614">
    <w:name w:val="Colorful List - Accent 614"/>
    <w:basedOn w:val="TableNormal"/>
    <w:next w:val="ColorfulList-Accent6"/>
    <w:uiPriority w:val="72"/>
    <w:rsid w:val="00EF7E9D"/>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2-Accent2">
    <w:name w:val="Medium Shading 2 Accent 2"/>
    <w:basedOn w:val="TableNormal"/>
    <w:uiPriority w:val="64"/>
    <w:rsid w:val="007B42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7B42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2">
    <w:name w:val="Medium Grid 2 Accent 2"/>
    <w:basedOn w:val="TableNormal"/>
    <w:uiPriority w:val="68"/>
    <w:rsid w:val="007B42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List">
    <w:name w:val="Colorful List"/>
    <w:basedOn w:val="TableNormal"/>
    <w:uiPriority w:val="72"/>
    <w:rsid w:val="007B428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615">
    <w:name w:val="Colorful List - Accent 615"/>
    <w:basedOn w:val="TableNormal"/>
    <w:next w:val="ColorfulList-Accent6"/>
    <w:uiPriority w:val="72"/>
    <w:rsid w:val="002F39B6"/>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Shading-Accent6">
    <w:name w:val="Light Shading Accent 6"/>
    <w:basedOn w:val="TableNormal"/>
    <w:uiPriority w:val="60"/>
    <w:rsid w:val="002F39B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ColorfulList-Accent616">
    <w:name w:val="Colorful List - Accent 616"/>
    <w:basedOn w:val="TableNormal"/>
    <w:next w:val="ColorfulList-Accent6"/>
    <w:uiPriority w:val="72"/>
    <w:rsid w:val="002F39B6"/>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7">
    <w:name w:val="Colorful List - Accent 617"/>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8">
    <w:name w:val="Colorful List - Accent 618"/>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9">
    <w:name w:val="Colorful List - Accent 619"/>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0">
    <w:name w:val="Colorful List - Accent 6110"/>
    <w:basedOn w:val="TableNormal"/>
    <w:next w:val="ColorfulList-Accent6"/>
    <w:uiPriority w:val="72"/>
    <w:rsid w:val="00BE52AA"/>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1">
    <w:name w:val="Colorful List - Accent 6111"/>
    <w:basedOn w:val="TableNormal"/>
    <w:next w:val="ColorfulList-Accent6"/>
    <w:uiPriority w:val="72"/>
    <w:rsid w:val="00E561F9"/>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2">
    <w:name w:val="Colorful List - Accent 6112"/>
    <w:basedOn w:val="TableNormal"/>
    <w:next w:val="ColorfulList-Accent6"/>
    <w:uiPriority w:val="72"/>
    <w:rsid w:val="00E561F9"/>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Accent6113">
    <w:name w:val="Colorful List - Accent 6113"/>
    <w:basedOn w:val="TableNormal"/>
    <w:next w:val="ColorfulList-Accent6"/>
    <w:uiPriority w:val="72"/>
    <w:rsid w:val="00DB4A62"/>
    <w:pPr>
      <w:spacing w:after="0" w:line="240" w:lineRule="auto"/>
    </w:pPr>
    <w:rPr>
      <w:rFonts w:ascii="Palatino Linotype" w:hAnsi="Palatino Linotype"/>
      <w:color w:val="000000" w:themeColor="text1"/>
      <w:sz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422EC5"/>
    <w:rPr>
      <w:sz w:val="16"/>
      <w:szCs w:val="16"/>
    </w:rPr>
  </w:style>
  <w:style w:type="paragraph" w:styleId="CommentText">
    <w:name w:val="annotation text"/>
    <w:basedOn w:val="Normal"/>
    <w:link w:val="CommentTextChar"/>
    <w:uiPriority w:val="99"/>
    <w:semiHidden/>
    <w:unhideWhenUsed/>
    <w:rsid w:val="00422EC5"/>
    <w:pPr>
      <w:spacing w:line="240" w:lineRule="auto"/>
    </w:pPr>
  </w:style>
  <w:style w:type="character" w:customStyle="1" w:styleId="CommentTextChar">
    <w:name w:val="Comment Text Char"/>
    <w:basedOn w:val="DefaultParagraphFont"/>
    <w:link w:val="CommentText"/>
    <w:uiPriority w:val="99"/>
    <w:semiHidden/>
    <w:rsid w:val="00422EC5"/>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22EC5"/>
    <w:rPr>
      <w:b/>
      <w:bCs/>
    </w:rPr>
  </w:style>
  <w:style w:type="character" w:customStyle="1" w:styleId="CommentSubjectChar">
    <w:name w:val="Comment Subject Char"/>
    <w:basedOn w:val="CommentTextChar"/>
    <w:link w:val="CommentSubject"/>
    <w:uiPriority w:val="99"/>
    <w:semiHidden/>
    <w:rsid w:val="00422EC5"/>
    <w:rPr>
      <w:rFonts w:ascii="Century Gothic" w:hAnsi="Century Gothic"/>
      <w:b/>
      <w:bCs/>
      <w:sz w:val="20"/>
      <w:szCs w:val="20"/>
    </w:rPr>
  </w:style>
  <w:style w:type="paragraph" w:styleId="Revision">
    <w:name w:val="Revision"/>
    <w:hidden/>
    <w:uiPriority w:val="99"/>
    <w:semiHidden/>
    <w:rsid w:val="00E94091"/>
    <w:pPr>
      <w:spacing w:after="0" w:line="240" w:lineRule="auto"/>
    </w:pPr>
    <w:rPr>
      <w:rFonts w:ascii="Century Gothic" w:hAnsi="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706">
      <w:bodyDiv w:val="1"/>
      <w:marLeft w:val="0"/>
      <w:marRight w:val="0"/>
      <w:marTop w:val="0"/>
      <w:marBottom w:val="0"/>
      <w:divBdr>
        <w:top w:val="none" w:sz="0" w:space="0" w:color="auto"/>
        <w:left w:val="none" w:sz="0" w:space="0" w:color="auto"/>
        <w:bottom w:val="none" w:sz="0" w:space="0" w:color="auto"/>
        <w:right w:val="none" w:sz="0" w:space="0" w:color="auto"/>
      </w:divBdr>
    </w:div>
    <w:div w:id="126625437">
      <w:bodyDiv w:val="1"/>
      <w:marLeft w:val="0"/>
      <w:marRight w:val="0"/>
      <w:marTop w:val="0"/>
      <w:marBottom w:val="0"/>
      <w:divBdr>
        <w:top w:val="none" w:sz="0" w:space="0" w:color="auto"/>
        <w:left w:val="none" w:sz="0" w:space="0" w:color="auto"/>
        <w:bottom w:val="none" w:sz="0" w:space="0" w:color="auto"/>
        <w:right w:val="none" w:sz="0" w:space="0" w:color="auto"/>
      </w:divBdr>
    </w:div>
    <w:div w:id="127356744">
      <w:bodyDiv w:val="1"/>
      <w:marLeft w:val="0"/>
      <w:marRight w:val="0"/>
      <w:marTop w:val="0"/>
      <w:marBottom w:val="0"/>
      <w:divBdr>
        <w:top w:val="none" w:sz="0" w:space="0" w:color="auto"/>
        <w:left w:val="none" w:sz="0" w:space="0" w:color="auto"/>
        <w:bottom w:val="none" w:sz="0" w:space="0" w:color="auto"/>
        <w:right w:val="none" w:sz="0" w:space="0" w:color="auto"/>
      </w:divBdr>
    </w:div>
    <w:div w:id="137456250">
      <w:bodyDiv w:val="1"/>
      <w:marLeft w:val="0"/>
      <w:marRight w:val="0"/>
      <w:marTop w:val="0"/>
      <w:marBottom w:val="0"/>
      <w:divBdr>
        <w:top w:val="none" w:sz="0" w:space="0" w:color="auto"/>
        <w:left w:val="none" w:sz="0" w:space="0" w:color="auto"/>
        <w:bottom w:val="none" w:sz="0" w:space="0" w:color="auto"/>
        <w:right w:val="none" w:sz="0" w:space="0" w:color="auto"/>
      </w:divBdr>
    </w:div>
    <w:div w:id="172064273">
      <w:bodyDiv w:val="1"/>
      <w:marLeft w:val="0"/>
      <w:marRight w:val="0"/>
      <w:marTop w:val="0"/>
      <w:marBottom w:val="0"/>
      <w:divBdr>
        <w:top w:val="none" w:sz="0" w:space="0" w:color="auto"/>
        <w:left w:val="none" w:sz="0" w:space="0" w:color="auto"/>
        <w:bottom w:val="none" w:sz="0" w:space="0" w:color="auto"/>
        <w:right w:val="none" w:sz="0" w:space="0" w:color="auto"/>
      </w:divBdr>
    </w:div>
    <w:div w:id="227620889">
      <w:bodyDiv w:val="1"/>
      <w:marLeft w:val="0"/>
      <w:marRight w:val="0"/>
      <w:marTop w:val="0"/>
      <w:marBottom w:val="0"/>
      <w:divBdr>
        <w:top w:val="none" w:sz="0" w:space="0" w:color="auto"/>
        <w:left w:val="none" w:sz="0" w:space="0" w:color="auto"/>
        <w:bottom w:val="none" w:sz="0" w:space="0" w:color="auto"/>
        <w:right w:val="none" w:sz="0" w:space="0" w:color="auto"/>
      </w:divBdr>
    </w:div>
    <w:div w:id="278337255">
      <w:bodyDiv w:val="1"/>
      <w:marLeft w:val="0"/>
      <w:marRight w:val="0"/>
      <w:marTop w:val="0"/>
      <w:marBottom w:val="0"/>
      <w:divBdr>
        <w:top w:val="none" w:sz="0" w:space="0" w:color="auto"/>
        <w:left w:val="none" w:sz="0" w:space="0" w:color="auto"/>
        <w:bottom w:val="none" w:sz="0" w:space="0" w:color="auto"/>
        <w:right w:val="none" w:sz="0" w:space="0" w:color="auto"/>
      </w:divBdr>
    </w:div>
    <w:div w:id="278688445">
      <w:bodyDiv w:val="1"/>
      <w:marLeft w:val="0"/>
      <w:marRight w:val="0"/>
      <w:marTop w:val="0"/>
      <w:marBottom w:val="0"/>
      <w:divBdr>
        <w:top w:val="none" w:sz="0" w:space="0" w:color="auto"/>
        <w:left w:val="none" w:sz="0" w:space="0" w:color="auto"/>
        <w:bottom w:val="none" w:sz="0" w:space="0" w:color="auto"/>
        <w:right w:val="none" w:sz="0" w:space="0" w:color="auto"/>
      </w:divBdr>
    </w:div>
    <w:div w:id="600264553">
      <w:bodyDiv w:val="1"/>
      <w:marLeft w:val="0"/>
      <w:marRight w:val="0"/>
      <w:marTop w:val="0"/>
      <w:marBottom w:val="0"/>
      <w:divBdr>
        <w:top w:val="none" w:sz="0" w:space="0" w:color="auto"/>
        <w:left w:val="none" w:sz="0" w:space="0" w:color="auto"/>
        <w:bottom w:val="none" w:sz="0" w:space="0" w:color="auto"/>
        <w:right w:val="none" w:sz="0" w:space="0" w:color="auto"/>
      </w:divBdr>
    </w:div>
    <w:div w:id="601257817">
      <w:bodyDiv w:val="1"/>
      <w:marLeft w:val="0"/>
      <w:marRight w:val="0"/>
      <w:marTop w:val="0"/>
      <w:marBottom w:val="0"/>
      <w:divBdr>
        <w:top w:val="none" w:sz="0" w:space="0" w:color="auto"/>
        <w:left w:val="none" w:sz="0" w:space="0" w:color="auto"/>
        <w:bottom w:val="none" w:sz="0" w:space="0" w:color="auto"/>
        <w:right w:val="none" w:sz="0" w:space="0" w:color="auto"/>
      </w:divBdr>
    </w:div>
    <w:div w:id="779878552">
      <w:bodyDiv w:val="1"/>
      <w:marLeft w:val="0"/>
      <w:marRight w:val="0"/>
      <w:marTop w:val="0"/>
      <w:marBottom w:val="0"/>
      <w:divBdr>
        <w:top w:val="none" w:sz="0" w:space="0" w:color="auto"/>
        <w:left w:val="none" w:sz="0" w:space="0" w:color="auto"/>
        <w:bottom w:val="none" w:sz="0" w:space="0" w:color="auto"/>
        <w:right w:val="none" w:sz="0" w:space="0" w:color="auto"/>
      </w:divBdr>
    </w:div>
    <w:div w:id="1047951785">
      <w:bodyDiv w:val="1"/>
      <w:marLeft w:val="0"/>
      <w:marRight w:val="0"/>
      <w:marTop w:val="0"/>
      <w:marBottom w:val="0"/>
      <w:divBdr>
        <w:top w:val="none" w:sz="0" w:space="0" w:color="auto"/>
        <w:left w:val="none" w:sz="0" w:space="0" w:color="auto"/>
        <w:bottom w:val="none" w:sz="0" w:space="0" w:color="auto"/>
        <w:right w:val="none" w:sz="0" w:space="0" w:color="auto"/>
      </w:divBdr>
    </w:div>
    <w:div w:id="1162234730">
      <w:bodyDiv w:val="1"/>
      <w:marLeft w:val="0"/>
      <w:marRight w:val="0"/>
      <w:marTop w:val="0"/>
      <w:marBottom w:val="0"/>
      <w:divBdr>
        <w:top w:val="none" w:sz="0" w:space="0" w:color="auto"/>
        <w:left w:val="none" w:sz="0" w:space="0" w:color="auto"/>
        <w:bottom w:val="none" w:sz="0" w:space="0" w:color="auto"/>
        <w:right w:val="none" w:sz="0" w:space="0" w:color="auto"/>
      </w:divBdr>
    </w:div>
    <w:div w:id="1165239612">
      <w:bodyDiv w:val="1"/>
      <w:marLeft w:val="0"/>
      <w:marRight w:val="0"/>
      <w:marTop w:val="0"/>
      <w:marBottom w:val="0"/>
      <w:divBdr>
        <w:top w:val="none" w:sz="0" w:space="0" w:color="auto"/>
        <w:left w:val="none" w:sz="0" w:space="0" w:color="auto"/>
        <w:bottom w:val="none" w:sz="0" w:space="0" w:color="auto"/>
        <w:right w:val="none" w:sz="0" w:space="0" w:color="auto"/>
      </w:divBdr>
    </w:div>
    <w:div w:id="1556236078">
      <w:bodyDiv w:val="1"/>
      <w:marLeft w:val="0"/>
      <w:marRight w:val="0"/>
      <w:marTop w:val="0"/>
      <w:marBottom w:val="0"/>
      <w:divBdr>
        <w:top w:val="none" w:sz="0" w:space="0" w:color="auto"/>
        <w:left w:val="none" w:sz="0" w:space="0" w:color="auto"/>
        <w:bottom w:val="none" w:sz="0" w:space="0" w:color="auto"/>
        <w:right w:val="none" w:sz="0" w:space="0" w:color="auto"/>
      </w:divBdr>
    </w:div>
    <w:div w:id="1608079203">
      <w:bodyDiv w:val="1"/>
      <w:marLeft w:val="0"/>
      <w:marRight w:val="0"/>
      <w:marTop w:val="0"/>
      <w:marBottom w:val="0"/>
      <w:divBdr>
        <w:top w:val="none" w:sz="0" w:space="0" w:color="auto"/>
        <w:left w:val="none" w:sz="0" w:space="0" w:color="auto"/>
        <w:bottom w:val="none" w:sz="0" w:space="0" w:color="auto"/>
        <w:right w:val="none" w:sz="0" w:space="0" w:color="auto"/>
      </w:divBdr>
    </w:div>
    <w:div w:id="1640256828">
      <w:bodyDiv w:val="1"/>
      <w:marLeft w:val="0"/>
      <w:marRight w:val="0"/>
      <w:marTop w:val="0"/>
      <w:marBottom w:val="0"/>
      <w:divBdr>
        <w:top w:val="none" w:sz="0" w:space="0" w:color="auto"/>
        <w:left w:val="none" w:sz="0" w:space="0" w:color="auto"/>
        <w:bottom w:val="none" w:sz="0" w:space="0" w:color="auto"/>
        <w:right w:val="none" w:sz="0" w:space="0" w:color="auto"/>
      </w:divBdr>
    </w:div>
    <w:div w:id="1648047485">
      <w:bodyDiv w:val="1"/>
      <w:marLeft w:val="0"/>
      <w:marRight w:val="0"/>
      <w:marTop w:val="0"/>
      <w:marBottom w:val="0"/>
      <w:divBdr>
        <w:top w:val="none" w:sz="0" w:space="0" w:color="auto"/>
        <w:left w:val="none" w:sz="0" w:space="0" w:color="auto"/>
        <w:bottom w:val="none" w:sz="0" w:space="0" w:color="auto"/>
        <w:right w:val="none" w:sz="0" w:space="0" w:color="auto"/>
      </w:divBdr>
    </w:div>
    <w:div w:id="1656688532">
      <w:bodyDiv w:val="1"/>
      <w:marLeft w:val="0"/>
      <w:marRight w:val="0"/>
      <w:marTop w:val="0"/>
      <w:marBottom w:val="0"/>
      <w:divBdr>
        <w:top w:val="none" w:sz="0" w:space="0" w:color="auto"/>
        <w:left w:val="none" w:sz="0" w:space="0" w:color="auto"/>
        <w:bottom w:val="none" w:sz="0" w:space="0" w:color="auto"/>
        <w:right w:val="none" w:sz="0" w:space="0" w:color="auto"/>
      </w:divBdr>
    </w:div>
    <w:div w:id="1682395268">
      <w:bodyDiv w:val="1"/>
      <w:marLeft w:val="0"/>
      <w:marRight w:val="0"/>
      <w:marTop w:val="0"/>
      <w:marBottom w:val="0"/>
      <w:divBdr>
        <w:top w:val="none" w:sz="0" w:space="0" w:color="auto"/>
        <w:left w:val="none" w:sz="0" w:space="0" w:color="auto"/>
        <w:bottom w:val="none" w:sz="0" w:space="0" w:color="auto"/>
        <w:right w:val="none" w:sz="0" w:space="0" w:color="auto"/>
      </w:divBdr>
    </w:div>
    <w:div w:id="1723866008">
      <w:bodyDiv w:val="1"/>
      <w:marLeft w:val="0"/>
      <w:marRight w:val="0"/>
      <w:marTop w:val="0"/>
      <w:marBottom w:val="0"/>
      <w:divBdr>
        <w:top w:val="none" w:sz="0" w:space="0" w:color="auto"/>
        <w:left w:val="none" w:sz="0" w:space="0" w:color="auto"/>
        <w:bottom w:val="none" w:sz="0" w:space="0" w:color="auto"/>
        <w:right w:val="none" w:sz="0" w:space="0" w:color="auto"/>
      </w:divBdr>
    </w:div>
    <w:div w:id="1741823498">
      <w:bodyDiv w:val="1"/>
      <w:marLeft w:val="0"/>
      <w:marRight w:val="0"/>
      <w:marTop w:val="0"/>
      <w:marBottom w:val="0"/>
      <w:divBdr>
        <w:top w:val="none" w:sz="0" w:space="0" w:color="auto"/>
        <w:left w:val="none" w:sz="0" w:space="0" w:color="auto"/>
        <w:bottom w:val="none" w:sz="0" w:space="0" w:color="auto"/>
        <w:right w:val="none" w:sz="0" w:space="0" w:color="auto"/>
      </w:divBdr>
    </w:div>
    <w:div w:id="1755278547">
      <w:bodyDiv w:val="1"/>
      <w:marLeft w:val="0"/>
      <w:marRight w:val="0"/>
      <w:marTop w:val="0"/>
      <w:marBottom w:val="0"/>
      <w:divBdr>
        <w:top w:val="none" w:sz="0" w:space="0" w:color="auto"/>
        <w:left w:val="none" w:sz="0" w:space="0" w:color="auto"/>
        <w:bottom w:val="none" w:sz="0" w:space="0" w:color="auto"/>
        <w:right w:val="none" w:sz="0" w:space="0" w:color="auto"/>
      </w:divBdr>
    </w:div>
    <w:div w:id="1870288898">
      <w:bodyDiv w:val="1"/>
      <w:marLeft w:val="0"/>
      <w:marRight w:val="0"/>
      <w:marTop w:val="0"/>
      <w:marBottom w:val="0"/>
      <w:divBdr>
        <w:top w:val="none" w:sz="0" w:space="0" w:color="auto"/>
        <w:left w:val="none" w:sz="0" w:space="0" w:color="auto"/>
        <w:bottom w:val="none" w:sz="0" w:space="0" w:color="auto"/>
        <w:right w:val="none" w:sz="0" w:space="0" w:color="auto"/>
      </w:divBdr>
    </w:div>
    <w:div w:id="1900092215">
      <w:bodyDiv w:val="1"/>
      <w:marLeft w:val="0"/>
      <w:marRight w:val="0"/>
      <w:marTop w:val="0"/>
      <w:marBottom w:val="0"/>
      <w:divBdr>
        <w:top w:val="none" w:sz="0" w:space="0" w:color="auto"/>
        <w:left w:val="none" w:sz="0" w:space="0" w:color="auto"/>
        <w:bottom w:val="none" w:sz="0" w:space="0" w:color="auto"/>
        <w:right w:val="none" w:sz="0" w:space="0" w:color="auto"/>
      </w:divBdr>
    </w:div>
    <w:div w:id="1953779771">
      <w:bodyDiv w:val="1"/>
      <w:marLeft w:val="0"/>
      <w:marRight w:val="0"/>
      <w:marTop w:val="0"/>
      <w:marBottom w:val="0"/>
      <w:divBdr>
        <w:top w:val="none" w:sz="0" w:space="0" w:color="auto"/>
        <w:left w:val="none" w:sz="0" w:space="0" w:color="auto"/>
        <w:bottom w:val="none" w:sz="0" w:space="0" w:color="auto"/>
        <w:right w:val="none" w:sz="0" w:space="0" w:color="auto"/>
      </w:divBdr>
    </w:div>
    <w:div w:id="209828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chart" Target="charts/chart15.xml"/><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10.xml"/><Relationship Id="rId42" Type="http://schemas.openxmlformats.org/officeDocument/2006/relationships/diagramQuickStyle" Target="diagrams/quickStyle1.xml"/><Relationship Id="rId47" Type="http://schemas.openxmlformats.org/officeDocument/2006/relationships/image" Target="media/image12.emf"/><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25" Type="http://schemas.openxmlformats.org/officeDocument/2006/relationships/chart" Target="charts/chart6.xml"/><Relationship Id="rId33" Type="http://schemas.openxmlformats.org/officeDocument/2006/relationships/image" Target="media/image10.jpeg"/><Relationship Id="rId38" Type="http://schemas.openxmlformats.org/officeDocument/2006/relationships/chart" Target="charts/chart14.xml"/><Relationship Id="rId46" Type="http://schemas.openxmlformats.org/officeDocument/2006/relationships/image" Target="media/image11.jpe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chart" Target="charts/chart8.xml"/><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9.jpeg"/><Relationship Id="rId37" Type="http://schemas.openxmlformats.org/officeDocument/2006/relationships/chart" Target="charts/chart13.xml"/><Relationship Id="rId40" Type="http://schemas.openxmlformats.org/officeDocument/2006/relationships/diagramData" Target="diagrams/data1.xml"/><Relationship Id="rId45"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4.xml"/><Relationship Id="rId28" Type="http://schemas.microsoft.com/office/2007/relationships/hdphoto" Target="media/hdphoto1.wdp"/><Relationship Id="rId36" Type="http://schemas.openxmlformats.org/officeDocument/2006/relationships/chart" Target="charts/chart12.xml"/><Relationship Id="rId4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8.jpeg"/><Relationship Id="rId44"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chart" Target="charts/chart9.xml"/><Relationship Id="rId35" Type="http://schemas.openxmlformats.org/officeDocument/2006/relationships/chart" Target="charts/chart11.xml"/><Relationship Id="rId43" Type="http://schemas.openxmlformats.org/officeDocument/2006/relationships/diagramColors" Target="diagrams/colors1.xml"/><Relationship Id="rId48"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Srpcsrv2\USERS\SRPCPROJECT\Towns\dur\2014_Master_Plan\Demographic_Housing\Population%20Characteristics\Hist-ProjPop.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1" Type="http://schemas.openxmlformats.org/officeDocument/2006/relationships/oleObject" Target="file:///\\Srpcsrv2\users\SRPCPROJECT\Towns\nkt\Master_Plan\HousingDemo2014Update\NHHF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pcsrv2\users\SRPCPROJECT\Towns\nkt\Master_Plan\HousingDemo2014Update\NHHF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pcsrv2\users\SRPCPROJECT\Towns\nkt\Master_Plan\HousingDemo2014Update\NHHF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pcsrv2\users\SRPCPROJECT\Towns\nkt\Master_Plan\HousingDemo2014Update\NHHF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2" Type="http://schemas.openxmlformats.org/officeDocument/2006/relationships/oleObject" Target="file:///\\Srpcsrv2\USERS\SRPCPROJECT\Towns\dur\2014_Master_Plan\Demographic_Housing\Population%20Characteristics\Hist-ProjPop.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en-US" sz="1100"/>
              <a:t>Figure 1: Historic and Projected Population 1960-2040</a:t>
            </a:r>
          </a:p>
          <a:p>
            <a:pPr algn="ctr">
              <a:defRPr sz="1100"/>
            </a:pPr>
            <a:r>
              <a:rPr lang="en-US" sz="900" b="0"/>
              <a:t>Source: RLS Demographics, NH Office of Energy  and Planning, </a:t>
            </a:r>
            <a:r>
              <a:rPr lang="en-US" sz="900" b="0" i="0" u="none" strike="noStrike" kern="1200" baseline="0">
                <a:solidFill>
                  <a:sysClr val="windowText" lastClr="000000"/>
                </a:solidFill>
                <a:latin typeface="Century Gothic" panose="020B0502020202020204" pitchFamily="34" charset="0"/>
                <a:ea typeface="+mn-ea"/>
                <a:cs typeface="+mn-cs"/>
              </a:rPr>
              <a:t>U.S. Census Bureau</a:t>
            </a:r>
            <a:endParaRPr lang="en-US" sz="900" b="0"/>
          </a:p>
        </c:rich>
      </c:tx>
      <c:layout>
        <c:manualLayout>
          <c:xMode val="edge"/>
          <c:yMode val="edge"/>
          <c:x val="0.18393767658023638"/>
          <c:y val="0"/>
        </c:manualLayout>
      </c:layout>
      <c:overlay val="0"/>
    </c:title>
    <c:autoTitleDeleted val="0"/>
    <c:plotArea>
      <c:layout/>
      <c:lineChart>
        <c:grouping val="standard"/>
        <c:varyColors val="0"/>
        <c:ser>
          <c:idx val="0"/>
          <c:order val="0"/>
          <c:tx>
            <c:strRef>
              <c:f>HistoricalProjLine!$A$2</c:f>
              <c:strCache>
                <c:ptCount val="1"/>
                <c:pt idx="0">
                  <c:v>Newmarket</c:v>
                </c:pt>
              </c:strCache>
            </c:strRef>
          </c:tx>
          <c:spPr>
            <a:ln>
              <a:solidFill>
                <a:srgbClr val="C0504D">
                  <a:lumMod val="75000"/>
                </a:srgbClr>
              </a:solidFill>
            </a:ln>
          </c:spPr>
          <c:marker>
            <c:symbol val="none"/>
          </c:marker>
          <c:dPt>
            <c:idx val="0"/>
            <c:bubble3D val="0"/>
            <c:spPr>
              <a:ln>
                <a:solidFill>
                  <a:srgbClr val="C0504D">
                    <a:lumMod val="75000"/>
                  </a:srgbClr>
                </a:solidFill>
              </a:ln>
            </c:spPr>
          </c:dPt>
          <c:dPt>
            <c:idx val="6"/>
            <c:bubble3D val="0"/>
            <c:spPr>
              <a:ln>
                <a:solidFill>
                  <a:srgbClr val="C0504D">
                    <a:lumMod val="75000"/>
                  </a:srgbClr>
                </a:solidFill>
                <a:prstDash val="sysDash"/>
              </a:ln>
            </c:spPr>
          </c:dPt>
          <c:dPt>
            <c:idx val="7"/>
            <c:bubble3D val="0"/>
            <c:spPr>
              <a:ln>
                <a:solidFill>
                  <a:srgbClr val="C0504D">
                    <a:lumMod val="75000"/>
                  </a:srgbClr>
                </a:solidFill>
                <a:prstDash val="sysDash"/>
              </a:ln>
            </c:spPr>
          </c:dPt>
          <c:dPt>
            <c:idx val="8"/>
            <c:bubble3D val="0"/>
            <c:spPr>
              <a:ln>
                <a:solidFill>
                  <a:srgbClr val="C0504D">
                    <a:lumMod val="75000"/>
                  </a:srgbClr>
                </a:solidFill>
                <a:prstDash val="sysDash"/>
              </a:ln>
            </c:spPr>
          </c:dPt>
          <c:dPt>
            <c:idx val="9"/>
            <c:bubble3D val="0"/>
            <c:spPr>
              <a:ln>
                <a:solidFill>
                  <a:srgbClr val="C0504D">
                    <a:lumMod val="75000"/>
                  </a:srgbClr>
                </a:solidFill>
                <a:prstDash val="sysDash"/>
              </a:ln>
            </c:spPr>
          </c:dPt>
          <c:dPt>
            <c:idx val="10"/>
            <c:bubble3D val="0"/>
            <c:spPr>
              <a:ln>
                <a:solidFill>
                  <a:srgbClr val="C0504D">
                    <a:lumMod val="75000"/>
                  </a:srgbClr>
                </a:solidFill>
                <a:prstDash val="sysDash"/>
              </a:ln>
            </c:spPr>
          </c:dPt>
          <c:dPt>
            <c:idx val="11"/>
            <c:bubble3D val="0"/>
            <c:spPr>
              <a:ln>
                <a:solidFill>
                  <a:srgbClr val="C0504D">
                    <a:lumMod val="75000"/>
                  </a:srgbClr>
                </a:solidFill>
                <a:prstDash val="sysDash"/>
              </a:ln>
            </c:spPr>
          </c:dPt>
          <c:dLbls>
            <c:dLbl>
              <c:idx val="0"/>
              <c:layout>
                <c:manualLayout>
                  <c:x val="-3.7992252939814418E-2"/>
                  <c:y val="-9.5419419336530004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4.7256014903426534E-2"/>
                  <c:y val="-0.10294495505634903"/>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5.8558913243952612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HistoricalProjLine!$B$1:$M$1</c:f>
              <c:numCache>
                <c:formatCode>General</c:formatCode>
                <c:ptCount val="12"/>
                <c:pt idx="0">
                  <c:v>1960</c:v>
                </c:pt>
                <c:pt idx="1">
                  <c:v>1970</c:v>
                </c:pt>
                <c:pt idx="2">
                  <c:v>1980</c:v>
                </c:pt>
                <c:pt idx="3">
                  <c:v>1990</c:v>
                </c:pt>
                <c:pt idx="4">
                  <c:v>2000</c:v>
                </c:pt>
                <c:pt idx="5">
                  <c:v>2010</c:v>
                </c:pt>
                <c:pt idx="6">
                  <c:v>2015</c:v>
                </c:pt>
                <c:pt idx="7">
                  <c:v>2020</c:v>
                </c:pt>
                <c:pt idx="8">
                  <c:v>2025</c:v>
                </c:pt>
                <c:pt idx="9">
                  <c:v>2030</c:v>
                </c:pt>
                <c:pt idx="10">
                  <c:v>2035</c:v>
                </c:pt>
                <c:pt idx="11">
                  <c:v>2040</c:v>
                </c:pt>
              </c:numCache>
            </c:numRef>
          </c:cat>
          <c:val>
            <c:numRef>
              <c:f>HistoricalProjLine!$B$2:$M$2</c:f>
              <c:numCache>
                <c:formatCode>#,##0</c:formatCode>
                <c:ptCount val="12"/>
                <c:pt idx="0">
                  <c:v>3153</c:v>
                </c:pt>
                <c:pt idx="1">
                  <c:v>3361</c:v>
                </c:pt>
                <c:pt idx="2">
                  <c:v>4290</c:v>
                </c:pt>
                <c:pt idx="3">
                  <c:v>7157</c:v>
                </c:pt>
                <c:pt idx="4">
                  <c:v>8027</c:v>
                </c:pt>
                <c:pt idx="5">
                  <c:v>8936</c:v>
                </c:pt>
                <c:pt idx="6">
                  <c:v>9257.4010573898067</c:v>
                </c:pt>
                <c:pt idx="7">
                  <c:v>9695.9101433730702</c:v>
                </c:pt>
                <c:pt idx="8">
                  <c:v>9909.2494248469829</c:v>
                </c:pt>
                <c:pt idx="9">
                  <c:v>10081.323732741965</c:v>
                </c:pt>
                <c:pt idx="10">
                  <c:v>10169.003902482798</c:v>
                </c:pt>
                <c:pt idx="11">
                  <c:v>10149.60367753834</c:v>
                </c:pt>
              </c:numCache>
            </c:numRef>
          </c:val>
          <c:smooth val="0"/>
        </c:ser>
        <c:dLbls>
          <c:showLegendKey val="0"/>
          <c:showVal val="0"/>
          <c:showCatName val="0"/>
          <c:showSerName val="0"/>
          <c:showPercent val="0"/>
          <c:showBubbleSize val="0"/>
        </c:dLbls>
        <c:marker val="1"/>
        <c:smooth val="0"/>
        <c:axId val="221960448"/>
        <c:axId val="221962240"/>
      </c:lineChart>
      <c:catAx>
        <c:axId val="221960448"/>
        <c:scaling>
          <c:orientation val="minMax"/>
        </c:scaling>
        <c:delete val="0"/>
        <c:axPos val="b"/>
        <c:numFmt formatCode="General" sourceLinked="1"/>
        <c:majorTickMark val="out"/>
        <c:minorTickMark val="none"/>
        <c:tickLblPos val="nextTo"/>
        <c:crossAx val="221962240"/>
        <c:crosses val="autoZero"/>
        <c:auto val="1"/>
        <c:lblAlgn val="ctr"/>
        <c:lblOffset val="100"/>
        <c:noMultiLvlLbl val="0"/>
      </c:catAx>
      <c:valAx>
        <c:axId val="221962240"/>
        <c:scaling>
          <c:orientation val="minMax"/>
        </c:scaling>
        <c:delete val="0"/>
        <c:axPos val="l"/>
        <c:majorGridlines/>
        <c:title>
          <c:tx>
            <c:rich>
              <a:bodyPr rot="-5400000" vert="horz"/>
              <a:lstStyle/>
              <a:p>
                <a:pPr>
                  <a:defRPr/>
                </a:pPr>
                <a:r>
                  <a:rPr lang="en-US"/>
                  <a:t>Newmarket</a:t>
                </a:r>
              </a:p>
            </c:rich>
          </c:tx>
          <c:overlay val="0"/>
        </c:title>
        <c:numFmt formatCode="#,##0" sourceLinked="1"/>
        <c:majorTickMark val="out"/>
        <c:minorTickMark val="none"/>
        <c:tickLblPos val="nextTo"/>
        <c:crossAx val="221960448"/>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a:t>
            </a:r>
            <a:r>
              <a:rPr lang="en-US" sz="1000" baseline="0"/>
              <a:t> 8: </a:t>
            </a:r>
            <a:r>
              <a:rPr lang="en-US" sz="1000"/>
              <a:t>Newmarket Residential</a:t>
            </a:r>
            <a:r>
              <a:rPr lang="en-US" sz="1000" baseline="0"/>
              <a:t> </a:t>
            </a:r>
            <a:r>
              <a:rPr lang="en-US" sz="1000"/>
              <a:t>Building Permits 2000-2013</a:t>
            </a:r>
          </a:p>
          <a:p>
            <a:pPr>
              <a:defRPr/>
            </a:pPr>
            <a:r>
              <a:rPr lang="en-US" sz="950" b="0"/>
              <a:t>Source: NH Office of Energy and Planning</a:t>
            </a:r>
          </a:p>
        </c:rich>
      </c:tx>
      <c:overlay val="0"/>
    </c:title>
    <c:autoTitleDeleted val="0"/>
    <c:plotArea>
      <c:layout/>
      <c:barChart>
        <c:barDir val="col"/>
        <c:grouping val="clustered"/>
        <c:varyColors val="0"/>
        <c:ser>
          <c:idx val="0"/>
          <c:order val="0"/>
          <c:tx>
            <c:strRef>
              <c:f>Sheet1!$A$2</c:f>
              <c:strCache>
                <c:ptCount val="1"/>
                <c:pt idx="0">
                  <c:v>Newmarket</c:v>
                </c:pt>
              </c:strCache>
            </c:strRef>
          </c:tx>
          <c:spPr>
            <a:solidFill>
              <a:schemeClr val="bg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Sheet1!$B$1:$O$1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Sheet1!$B$2:$O$2</c:f>
              <c:numCache>
                <c:formatCode>#,##0</c:formatCode>
                <c:ptCount val="14"/>
                <c:pt idx="0">
                  <c:v>81</c:v>
                </c:pt>
                <c:pt idx="1">
                  <c:v>117</c:v>
                </c:pt>
                <c:pt idx="2">
                  <c:v>130</c:v>
                </c:pt>
                <c:pt idx="3">
                  <c:v>179</c:v>
                </c:pt>
                <c:pt idx="4">
                  <c:v>112</c:v>
                </c:pt>
                <c:pt idx="5">
                  <c:v>86</c:v>
                </c:pt>
                <c:pt idx="6">
                  <c:v>19</c:v>
                </c:pt>
                <c:pt idx="7">
                  <c:v>0</c:v>
                </c:pt>
                <c:pt idx="8">
                  <c:v>6</c:v>
                </c:pt>
                <c:pt idx="9">
                  <c:v>2</c:v>
                </c:pt>
                <c:pt idx="10">
                  <c:v>2</c:v>
                </c:pt>
                <c:pt idx="11">
                  <c:v>6</c:v>
                </c:pt>
                <c:pt idx="12">
                  <c:v>117</c:v>
                </c:pt>
                <c:pt idx="13">
                  <c:v>5</c:v>
                </c:pt>
              </c:numCache>
            </c:numRef>
          </c:val>
        </c:ser>
        <c:dLbls>
          <c:showLegendKey val="0"/>
          <c:showVal val="1"/>
          <c:showCatName val="0"/>
          <c:showSerName val="0"/>
          <c:showPercent val="0"/>
          <c:showBubbleSize val="0"/>
        </c:dLbls>
        <c:gapWidth val="150"/>
        <c:axId val="232512896"/>
        <c:axId val="232655104"/>
      </c:barChart>
      <c:catAx>
        <c:axId val="232512896"/>
        <c:scaling>
          <c:orientation val="minMax"/>
        </c:scaling>
        <c:delete val="0"/>
        <c:axPos val="b"/>
        <c:numFmt formatCode="General" sourceLinked="1"/>
        <c:majorTickMark val="out"/>
        <c:minorTickMark val="none"/>
        <c:tickLblPos val="nextTo"/>
        <c:crossAx val="232655104"/>
        <c:crosses val="autoZero"/>
        <c:auto val="1"/>
        <c:lblAlgn val="ctr"/>
        <c:lblOffset val="100"/>
        <c:noMultiLvlLbl val="0"/>
      </c:catAx>
      <c:valAx>
        <c:axId val="232655104"/>
        <c:scaling>
          <c:orientation val="minMax"/>
        </c:scaling>
        <c:delete val="0"/>
        <c:axPos val="l"/>
        <c:numFmt formatCode="#,##0" sourceLinked="1"/>
        <c:majorTickMark val="out"/>
        <c:minorTickMark val="none"/>
        <c:tickLblPos val="nextTo"/>
        <c:crossAx val="232512896"/>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a:t>
            </a:r>
            <a:r>
              <a:rPr lang="en-US" sz="1000" baseline="0"/>
              <a:t> 9: </a:t>
            </a:r>
            <a:r>
              <a:rPr lang="en-US" sz="1000"/>
              <a:t>Newmarket Assessment Values</a:t>
            </a:r>
          </a:p>
          <a:p>
            <a:pPr>
              <a:defRPr/>
            </a:pPr>
            <a:r>
              <a:rPr lang="en-US" sz="950" b="0"/>
              <a:t>Source: Newmarket Assessing Database</a:t>
            </a:r>
          </a:p>
        </c:rich>
      </c:tx>
      <c:overlay val="0"/>
    </c:title>
    <c:autoTitleDeleted val="0"/>
    <c:plotArea>
      <c:layout/>
      <c:barChart>
        <c:barDir val="col"/>
        <c:grouping val="clustered"/>
        <c:varyColors val="0"/>
        <c:ser>
          <c:idx val="0"/>
          <c:order val="0"/>
          <c:tx>
            <c:strRef>
              <c:f>'[Chart in Microsoft Word]requested data 10-29-14'!$P$1</c:f>
              <c:strCache>
                <c:ptCount val="1"/>
                <c:pt idx="0">
                  <c:v>TOT PARCEL ASMNT</c:v>
                </c:pt>
              </c:strCache>
            </c:strRef>
          </c:tx>
          <c:spPr>
            <a:solidFill>
              <a:schemeClr val="bg2">
                <a:lumMod val="75000"/>
              </a:schemeClr>
            </a:solidFill>
            <a:ln>
              <a:solidFill>
                <a:schemeClr val="tx1">
                  <a:lumMod val="65000"/>
                  <a:lumOff val="35000"/>
                </a:schemeClr>
              </a:solidFill>
            </a:ln>
          </c:spPr>
          <c:invertIfNegative val="0"/>
          <c:val>
            <c:numRef>
              <c:f>'[Chart in Microsoft Word]requested data 10-29-14'!$P$2:$P$2902</c:f>
              <c:numCache>
                <c:formatCode>"$"#,##0</c:formatCode>
                <c:ptCount val="2703"/>
                <c:pt idx="0">
                  <c:v>0</c:v>
                </c:pt>
                <c:pt idx="1">
                  <c:v>0</c:v>
                </c:pt>
                <c:pt idx="2">
                  <c:v>0</c:v>
                </c:pt>
                <c:pt idx="3">
                  <c:v>0</c:v>
                </c:pt>
                <c:pt idx="4">
                  <c:v>0</c:v>
                </c:pt>
                <c:pt idx="5">
                  <c:v>0</c:v>
                </c:pt>
                <c:pt idx="6">
                  <c:v>0</c:v>
                </c:pt>
                <c:pt idx="7">
                  <c:v>0</c:v>
                </c:pt>
                <c:pt idx="8">
                  <c:v>0</c:v>
                </c:pt>
                <c:pt idx="9">
                  <c:v>200</c:v>
                </c:pt>
                <c:pt idx="10">
                  <c:v>1200</c:v>
                </c:pt>
                <c:pt idx="11">
                  <c:v>1600</c:v>
                </c:pt>
                <c:pt idx="12">
                  <c:v>3500</c:v>
                </c:pt>
                <c:pt idx="13">
                  <c:v>6700</c:v>
                </c:pt>
                <c:pt idx="14">
                  <c:v>8700</c:v>
                </c:pt>
                <c:pt idx="15">
                  <c:v>10000</c:v>
                </c:pt>
                <c:pt idx="16">
                  <c:v>11600</c:v>
                </c:pt>
                <c:pt idx="17">
                  <c:v>12400</c:v>
                </c:pt>
                <c:pt idx="18">
                  <c:v>12500</c:v>
                </c:pt>
                <c:pt idx="19">
                  <c:v>12500</c:v>
                </c:pt>
                <c:pt idx="20">
                  <c:v>13400</c:v>
                </c:pt>
                <c:pt idx="21">
                  <c:v>14600</c:v>
                </c:pt>
                <c:pt idx="22">
                  <c:v>15100</c:v>
                </c:pt>
                <c:pt idx="23">
                  <c:v>15200</c:v>
                </c:pt>
                <c:pt idx="24">
                  <c:v>15600</c:v>
                </c:pt>
                <c:pt idx="25">
                  <c:v>16400</c:v>
                </c:pt>
                <c:pt idx="26">
                  <c:v>16800</c:v>
                </c:pt>
                <c:pt idx="27">
                  <c:v>17000</c:v>
                </c:pt>
                <c:pt idx="28">
                  <c:v>18200</c:v>
                </c:pt>
                <c:pt idx="29">
                  <c:v>18600</c:v>
                </c:pt>
                <c:pt idx="30">
                  <c:v>19200</c:v>
                </c:pt>
                <c:pt idx="31">
                  <c:v>19300</c:v>
                </c:pt>
                <c:pt idx="32">
                  <c:v>20100</c:v>
                </c:pt>
                <c:pt idx="33">
                  <c:v>20100</c:v>
                </c:pt>
                <c:pt idx="34">
                  <c:v>20500</c:v>
                </c:pt>
                <c:pt idx="35">
                  <c:v>21400</c:v>
                </c:pt>
                <c:pt idx="36">
                  <c:v>21700</c:v>
                </c:pt>
                <c:pt idx="37">
                  <c:v>21900</c:v>
                </c:pt>
                <c:pt idx="38">
                  <c:v>22100</c:v>
                </c:pt>
                <c:pt idx="39">
                  <c:v>22800</c:v>
                </c:pt>
                <c:pt idx="40">
                  <c:v>23200</c:v>
                </c:pt>
                <c:pt idx="41">
                  <c:v>25000</c:v>
                </c:pt>
                <c:pt idx="42">
                  <c:v>25500</c:v>
                </c:pt>
                <c:pt idx="43">
                  <c:v>26300</c:v>
                </c:pt>
                <c:pt idx="44">
                  <c:v>26600</c:v>
                </c:pt>
                <c:pt idx="45">
                  <c:v>26600</c:v>
                </c:pt>
                <c:pt idx="46">
                  <c:v>26700</c:v>
                </c:pt>
                <c:pt idx="47">
                  <c:v>27100</c:v>
                </c:pt>
                <c:pt idx="48">
                  <c:v>27700</c:v>
                </c:pt>
                <c:pt idx="49">
                  <c:v>27800</c:v>
                </c:pt>
                <c:pt idx="50">
                  <c:v>27900</c:v>
                </c:pt>
                <c:pt idx="51">
                  <c:v>28400</c:v>
                </c:pt>
                <c:pt idx="52">
                  <c:v>28400</c:v>
                </c:pt>
                <c:pt idx="53">
                  <c:v>28500</c:v>
                </c:pt>
                <c:pt idx="54">
                  <c:v>28600</c:v>
                </c:pt>
                <c:pt idx="55">
                  <c:v>28600</c:v>
                </c:pt>
                <c:pt idx="56">
                  <c:v>28800</c:v>
                </c:pt>
                <c:pt idx="57">
                  <c:v>28900</c:v>
                </c:pt>
                <c:pt idx="58">
                  <c:v>28900</c:v>
                </c:pt>
                <c:pt idx="59">
                  <c:v>29000</c:v>
                </c:pt>
                <c:pt idx="60">
                  <c:v>29100</c:v>
                </c:pt>
                <c:pt idx="61">
                  <c:v>29600</c:v>
                </c:pt>
                <c:pt idx="62">
                  <c:v>30200</c:v>
                </c:pt>
                <c:pt idx="63">
                  <c:v>30200</c:v>
                </c:pt>
                <c:pt idx="64">
                  <c:v>30300</c:v>
                </c:pt>
                <c:pt idx="65">
                  <c:v>30300</c:v>
                </c:pt>
                <c:pt idx="66">
                  <c:v>30300</c:v>
                </c:pt>
                <c:pt idx="67">
                  <c:v>30400</c:v>
                </c:pt>
                <c:pt idx="68">
                  <c:v>30800</c:v>
                </c:pt>
                <c:pt idx="69">
                  <c:v>30800</c:v>
                </c:pt>
                <c:pt idx="70">
                  <c:v>31400</c:v>
                </c:pt>
                <c:pt idx="71">
                  <c:v>31700</c:v>
                </c:pt>
                <c:pt idx="72">
                  <c:v>31700</c:v>
                </c:pt>
                <c:pt idx="73">
                  <c:v>31800</c:v>
                </c:pt>
                <c:pt idx="74">
                  <c:v>31800</c:v>
                </c:pt>
                <c:pt idx="75">
                  <c:v>32000</c:v>
                </c:pt>
                <c:pt idx="76">
                  <c:v>32100</c:v>
                </c:pt>
                <c:pt idx="77">
                  <c:v>32200</c:v>
                </c:pt>
                <c:pt idx="78">
                  <c:v>32600</c:v>
                </c:pt>
                <c:pt idx="79">
                  <c:v>32600</c:v>
                </c:pt>
                <c:pt idx="80">
                  <c:v>32700</c:v>
                </c:pt>
                <c:pt idx="81">
                  <c:v>33500</c:v>
                </c:pt>
                <c:pt idx="82">
                  <c:v>33700</c:v>
                </c:pt>
                <c:pt idx="83">
                  <c:v>33900</c:v>
                </c:pt>
                <c:pt idx="84">
                  <c:v>34000</c:v>
                </c:pt>
                <c:pt idx="85">
                  <c:v>34800</c:v>
                </c:pt>
                <c:pt idx="86">
                  <c:v>35200</c:v>
                </c:pt>
                <c:pt idx="87">
                  <c:v>35500</c:v>
                </c:pt>
                <c:pt idx="88">
                  <c:v>35500</c:v>
                </c:pt>
                <c:pt idx="89">
                  <c:v>35700</c:v>
                </c:pt>
                <c:pt idx="90">
                  <c:v>36100</c:v>
                </c:pt>
                <c:pt idx="91">
                  <c:v>36300</c:v>
                </c:pt>
                <c:pt idx="92">
                  <c:v>36300</c:v>
                </c:pt>
                <c:pt idx="93">
                  <c:v>36400</c:v>
                </c:pt>
                <c:pt idx="94">
                  <c:v>36500</c:v>
                </c:pt>
                <c:pt idx="95">
                  <c:v>36500</c:v>
                </c:pt>
                <c:pt idx="96">
                  <c:v>36500</c:v>
                </c:pt>
                <c:pt idx="97">
                  <c:v>36800</c:v>
                </c:pt>
                <c:pt idx="98">
                  <c:v>36900</c:v>
                </c:pt>
                <c:pt idx="99">
                  <c:v>36900</c:v>
                </c:pt>
                <c:pt idx="100">
                  <c:v>36900</c:v>
                </c:pt>
                <c:pt idx="101">
                  <c:v>37000</c:v>
                </c:pt>
                <c:pt idx="102">
                  <c:v>37000</c:v>
                </c:pt>
                <c:pt idx="103">
                  <c:v>37400</c:v>
                </c:pt>
                <c:pt idx="104">
                  <c:v>37500</c:v>
                </c:pt>
                <c:pt idx="105">
                  <c:v>37500</c:v>
                </c:pt>
                <c:pt idx="106">
                  <c:v>37600</c:v>
                </c:pt>
                <c:pt idx="107">
                  <c:v>37700</c:v>
                </c:pt>
                <c:pt idx="108">
                  <c:v>37700</c:v>
                </c:pt>
                <c:pt idx="109">
                  <c:v>37800</c:v>
                </c:pt>
                <c:pt idx="110">
                  <c:v>37900</c:v>
                </c:pt>
                <c:pt idx="111">
                  <c:v>38000</c:v>
                </c:pt>
                <c:pt idx="112">
                  <c:v>38200</c:v>
                </c:pt>
                <c:pt idx="113">
                  <c:v>38200</c:v>
                </c:pt>
                <c:pt idx="114">
                  <c:v>38200</c:v>
                </c:pt>
                <c:pt idx="115">
                  <c:v>38300</c:v>
                </c:pt>
                <c:pt idx="116">
                  <c:v>38500</c:v>
                </c:pt>
                <c:pt idx="117">
                  <c:v>38800</c:v>
                </c:pt>
                <c:pt idx="118">
                  <c:v>39300</c:v>
                </c:pt>
                <c:pt idx="119">
                  <c:v>39300</c:v>
                </c:pt>
                <c:pt idx="120">
                  <c:v>39300</c:v>
                </c:pt>
                <c:pt idx="121">
                  <c:v>39700</c:v>
                </c:pt>
                <c:pt idx="122">
                  <c:v>39800</c:v>
                </c:pt>
                <c:pt idx="123">
                  <c:v>40200</c:v>
                </c:pt>
                <c:pt idx="124">
                  <c:v>40900</c:v>
                </c:pt>
                <c:pt idx="125">
                  <c:v>41700</c:v>
                </c:pt>
                <c:pt idx="126">
                  <c:v>41800</c:v>
                </c:pt>
                <c:pt idx="127">
                  <c:v>41800</c:v>
                </c:pt>
                <c:pt idx="128">
                  <c:v>42800</c:v>
                </c:pt>
                <c:pt idx="129">
                  <c:v>43300</c:v>
                </c:pt>
                <c:pt idx="130">
                  <c:v>43400</c:v>
                </c:pt>
                <c:pt idx="131">
                  <c:v>43500</c:v>
                </c:pt>
                <c:pt idx="132">
                  <c:v>44200</c:v>
                </c:pt>
                <c:pt idx="133">
                  <c:v>45200</c:v>
                </c:pt>
                <c:pt idx="134">
                  <c:v>45200</c:v>
                </c:pt>
                <c:pt idx="135">
                  <c:v>45400</c:v>
                </c:pt>
                <c:pt idx="136">
                  <c:v>45500</c:v>
                </c:pt>
                <c:pt idx="137">
                  <c:v>45500</c:v>
                </c:pt>
                <c:pt idx="138">
                  <c:v>45500</c:v>
                </c:pt>
                <c:pt idx="139">
                  <c:v>45500</c:v>
                </c:pt>
                <c:pt idx="140">
                  <c:v>45700</c:v>
                </c:pt>
                <c:pt idx="141">
                  <c:v>45700</c:v>
                </c:pt>
                <c:pt idx="142">
                  <c:v>46600</c:v>
                </c:pt>
                <c:pt idx="143">
                  <c:v>48200</c:v>
                </c:pt>
                <c:pt idx="144">
                  <c:v>48500</c:v>
                </c:pt>
                <c:pt idx="145">
                  <c:v>49300</c:v>
                </c:pt>
                <c:pt idx="146">
                  <c:v>49700</c:v>
                </c:pt>
                <c:pt idx="147">
                  <c:v>49800</c:v>
                </c:pt>
                <c:pt idx="148">
                  <c:v>49900</c:v>
                </c:pt>
                <c:pt idx="149">
                  <c:v>50300</c:v>
                </c:pt>
                <c:pt idx="150">
                  <c:v>50400</c:v>
                </c:pt>
                <c:pt idx="151">
                  <c:v>51900</c:v>
                </c:pt>
                <c:pt idx="152">
                  <c:v>52900</c:v>
                </c:pt>
                <c:pt idx="153">
                  <c:v>53300</c:v>
                </c:pt>
                <c:pt idx="154">
                  <c:v>53900</c:v>
                </c:pt>
                <c:pt idx="155">
                  <c:v>54300</c:v>
                </c:pt>
                <c:pt idx="156">
                  <c:v>55700</c:v>
                </c:pt>
                <c:pt idx="157">
                  <c:v>56300</c:v>
                </c:pt>
                <c:pt idx="158">
                  <c:v>56600</c:v>
                </c:pt>
                <c:pt idx="159">
                  <c:v>56600</c:v>
                </c:pt>
                <c:pt idx="160">
                  <c:v>56600</c:v>
                </c:pt>
                <c:pt idx="161">
                  <c:v>56600</c:v>
                </c:pt>
                <c:pt idx="162">
                  <c:v>56600</c:v>
                </c:pt>
                <c:pt idx="163">
                  <c:v>56600</c:v>
                </c:pt>
                <c:pt idx="164">
                  <c:v>56600</c:v>
                </c:pt>
                <c:pt idx="165">
                  <c:v>56600</c:v>
                </c:pt>
                <c:pt idx="166">
                  <c:v>56600</c:v>
                </c:pt>
                <c:pt idx="167">
                  <c:v>56600</c:v>
                </c:pt>
                <c:pt idx="168">
                  <c:v>56600</c:v>
                </c:pt>
                <c:pt idx="169">
                  <c:v>56600</c:v>
                </c:pt>
                <c:pt idx="170">
                  <c:v>56600</c:v>
                </c:pt>
                <c:pt idx="171">
                  <c:v>56600</c:v>
                </c:pt>
                <c:pt idx="172">
                  <c:v>56600</c:v>
                </c:pt>
                <c:pt idx="173">
                  <c:v>56600</c:v>
                </c:pt>
                <c:pt idx="174">
                  <c:v>56600</c:v>
                </c:pt>
                <c:pt idx="175">
                  <c:v>56600</c:v>
                </c:pt>
                <c:pt idx="176">
                  <c:v>56600</c:v>
                </c:pt>
                <c:pt idx="177">
                  <c:v>56600</c:v>
                </c:pt>
                <c:pt idx="178">
                  <c:v>56600</c:v>
                </c:pt>
                <c:pt idx="179">
                  <c:v>56600</c:v>
                </c:pt>
                <c:pt idx="180">
                  <c:v>56600</c:v>
                </c:pt>
                <c:pt idx="181">
                  <c:v>56600</c:v>
                </c:pt>
                <c:pt idx="182">
                  <c:v>56600</c:v>
                </c:pt>
                <c:pt idx="183">
                  <c:v>56600</c:v>
                </c:pt>
                <c:pt idx="184">
                  <c:v>56600</c:v>
                </c:pt>
                <c:pt idx="185">
                  <c:v>56600</c:v>
                </c:pt>
                <c:pt idx="186">
                  <c:v>56600</c:v>
                </c:pt>
                <c:pt idx="187">
                  <c:v>56600</c:v>
                </c:pt>
                <c:pt idx="188">
                  <c:v>56600</c:v>
                </c:pt>
                <c:pt idx="189">
                  <c:v>56600</c:v>
                </c:pt>
                <c:pt idx="190">
                  <c:v>56600</c:v>
                </c:pt>
                <c:pt idx="191">
                  <c:v>56600</c:v>
                </c:pt>
                <c:pt idx="192">
                  <c:v>56600</c:v>
                </c:pt>
                <c:pt idx="193">
                  <c:v>56600</c:v>
                </c:pt>
                <c:pt idx="194">
                  <c:v>56600</c:v>
                </c:pt>
                <c:pt idx="195">
                  <c:v>56600</c:v>
                </c:pt>
                <c:pt idx="196">
                  <c:v>56600</c:v>
                </c:pt>
                <c:pt idx="197">
                  <c:v>56600</c:v>
                </c:pt>
                <c:pt idx="198">
                  <c:v>56600</c:v>
                </c:pt>
                <c:pt idx="199">
                  <c:v>56600</c:v>
                </c:pt>
                <c:pt idx="200">
                  <c:v>56600</c:v>
                </c:pt>
                <c:pt idx="201">
                  <c:v>56600</c:v>
                </c:pt>
                <c:pt idx="202">
                  <c:v>56600</c:v>
                </c:pt>
                <c:pt idx="203">
                  <c:v>56600</c:v>
                </c:pt>
                <c:pt idx="204">
                  <c:v>56600</c:v>
                </c:pt>
                <c:pt idx="205">
                  <c:v>56600</c:v>
                </c:pt>
                <c:pt idx="206">
                  <c:v>56600</c:v>
                </c:pt>
                <c:pt idx="207">
                  <c:v>56600</c:v>
                </c:pt>
                <c:pt idx="208">
                  <c:v>56600</c:v>
                </c:pt>
                <c:pt idx="209">
                  <c:v>56600</c:v>
                </c:pt>
                <c:pt idx="210">
                  <c:v>56600</c:v>
                </c:pt>
                <c:pt idx="211">
                  <c:v>56600</c:v>
                </c:pt>
                <c:pt idx="212">
                  <c:v>58500</c:v>
                </c:pt>
                <c:pt idx="213">
                  <c:v>61400</c:v>
                </c:pt>
                <c:pt idx="214">
                  <c:v>61800</c:v>
                </c:pt>
                <c:pt idx="215">
                  <c:v>62400</c:v>
                </c:pt>
                <c:pt idx="216">
                  <c:v>62700</c:v>
                </c:pt>
                <c:pt idx="217">
                  <c:v>62700</c:v>
                </c:pt>
                <c:pt idx="218">
                  <c:v>62700</c:v>
                </c:pt>
                <c:pt idx="219">
                  <c:v>62700</c:v>
                </c:pt>
                <c:pt idx="220">
                  <c:v>62700</c:v>
                </c:pt>
                <c:pt idx="221">
                  <c:v>62700</c:v>
                </c:pt>
                <c:pt idx="222">
                  <c:v>62700</c:v>
                </c:pt>
                <c:pt idx="223">
                  <c:v>62700</c:v>
                </c:pt>
                <c:pt idx="224">
                  <c:v>62700</c:v>
                </c:pt>
                <c:pt idx="225">
                  <c:v>62700</c:v>
                </c:pt>
                <c:pt idx="226">
                  <c:v>62700</c:v>
                </c:pt>
                <c:pt idx="227">
                  <c:v>62700</c:v>
                </c:pt>
                <c:pt idx="228">
                  <c:v>62700</c:v>
                </c:pt>
                <c:pt idx="229">
                  <c:v>62700</c:v>
                </c:pt>
                <c:pt idx="230">
                  <c:v>62700</c:v>
                </c:pt>
                <c:pt idx="231">
                  <c:v>62700</c:v>
                </c:pt>
                <c:pt idx="232">
                  <c:v>62700</c:v>
                </c:pt>
                <c:pt idx="233">
                  <c:v>62700</c:v>
                </c:pt>
                <c:pt idx="234">
                  <c:v>62700</c:v>
                </c:pt>
                <c:pt idx="235">
                  <c:v>62700</c:v>
                </c:pt>
                <c:pt idx="236">
                  <c:v>62700</c:v>
                </c:pt>
                <c:pt idx="237">
                  <c:v>62700</c:v>
                </c:pt>
                <c:pt idx="238">
                  <c:v>62700</c:v>
                </c:pt>
                <c:pt idx="239">
                  <c:v>62700</c:v>
                </c:pt>
                <c:pt idx="240">
                  <c:v>62700</c:v>
                </c:pt>
                <c:pt idx="241">
                  <c:v>62700</c:v>
                </c:pt>
                <c:pt idx="242">
                  <c:v>62700</c:v>
                </c:pt>
                <c:pt idx="243">
                  <c:v>62700</c:v>
                </c:pt>
                <c:pt idx="244">
                  <c:v>62700</c:v>
                </c:pt>
                <c:pt idx="245">
                  <c:v>62700</c:v>
                </c:pt>
                <c:pt idx="246">
                  <c:v>62700</c:v>
                </c:pt>
                <c:pt idx="247">
                  <c:v>62700</c:v>
                </c:pt>
                <c:pt idx="248">
                  <c:v>62700</c:v>
                </c:pt>
                <c:pt idx="249">
                  <c:v>62700</c:v>
                </c:pt>
                <c:pt idx="250">
                  <c:v>62700</c:v>
                </c:pt>
                <c:pt idx="251">
                  <c:v>62700</c:v>
                </c:pt>
                <c:pt idx="252">
                  <c:v>62700</c:v>
                </c:pt>
                <c:pt idx="253">
                  <c:v>62700</c:v>
                </c:pt>
                <c:pt idx="254">
                  <c:v>62700</c:v>
                </c:pt>
                <c:pt idx="255">
                  <c:v>62700</c:v>
                </c:pt>
                <c:pt idx="256">
                  <c:v>62700</c:v>
                </c:pt>
                <c:pt idx="257">
                  <c:v>62700</c:v>
                </c:pt>
                <c:pt idx="258">
                  <c:v>62700</c:v>
                </c:pt>
                <c:pt idx="259">
                  <c:v>62700</c:v>
                </c:pt>
                <c:pt idx="260">
                  <c:v>62700</c:v>
                </c:pt>
                <c:pt idx="261">
                  <c:v>62700</c:v>
                </c:pt>
                <c:pt idx="262">
                  <c:v>62700</c:v>
                </c:pt>
                <c:pt idx="263">
                  <c:v>62700</c:v>
                </c:pt>
                <c:pt idx="264">
                  <c:v>62700</c:v>
                </c:pt>
                <c:pt idx="265">
                  <c:v>62700</c:v>
                </c:pt>
                <c:pt idx="266">
                  <c:v>62700</c:v>
                </c:pt>
                <c:pt idx="267">
                  <c:v>62700</c:v>
                </c:pt>
                <c:pt idx="268">
                  <c:v>62700</c:v>
                </c:pt>
                <c:pt idx="269">
                  <c:v>62700</c:v>
                </c:pt>
                <c:pt idx="270">
                  <c:v>62700</c:v>
                </c:pt>
                <c:pt idx="271">
                  <c:v>62700</c:v>
                </c:pt>
                <c:pt idx="272">
                  <c:v>62700</c:v>
                </c:pt>
                <c:pt idx="273">
                  <c:v>62700</c:v>
                </c:pt>
                <c:pt idx="274">
                  <c:v>62700</c:v>
                </c:pt>
                <c:pt idx="275">
                  <c:v>65800</c:v>
                </c:pt>
                <c:pt idx="276">
                  <c:v>66900</c:v>
                </c:pt>
                <c:pt idx="277">
                  <c:v>67800</c:v>
                </c:pt>
                <c:pt idx="278">
                  <c:v>70300</c:v>
                </c:pt>
                <c:pt idx="279">
                  <c:v>71400</c:v>
                </c:pt>
                <c:pt idx="280">
                  <c:v>71400</c:v>
                </c:pt>
                <c:pt idx="281">
                  <c:v>71400</c:v>
                </c:pt>
                <c:pt idx="282">
                  <c:v>71400</c:v>
                </c:pt>
                <c:pt idx="283">
                  <c:v>71400</c:v>
                </c:pt>
                <c:pt idx="284">
                  <c:v>71400</c:v>
                </c:pt>
                <c:pt idx="285">
                  <c:v>74200</c:v>
                </c:pt>
                <c:pt idx="286">
                  <c:v>74300</c:v>
                </c:pt>
                <c:pt idx="287">
                  <c:v>74500</c:v>
                </c:pt>
                <c:pt idx="288">
                  <c:v>76000</c:v>
                </c:pt>
                <c:pt idx="289">
                  <c:v>78800</c:v>
                </c:pt>
                <c:pt idx="290">
                  <c:v>78900</c:v>
                </c:pt>
                <c:pt idx="291">
                  <c:v>79100</c:v>
                </c:pt>
                <c:pt idx="292">
                  <c:v>80100</c:v>
                </c:pt>
                <c:pt idx="293">
                  <c:v>80300</c:v>
                </c:pt>
                <c:pt idx="294">
                  <c:v>85100</c:v>
                </c:pt>
                <c:pt idx="295">
                  <c:v>85500</c:v>
                </c:pt>
                <c:pt idx="296">
                  <c:v>85800</c:v>
                </c:pt>
                <c:pt idx="297">
                  <c:v>86000</c:v>
                </c:pt>
                <c:pt idx="298">
                  <c:v>87800</c:v>
                </c:pt>
                <c:pt idx="299">
                  <c:v>88200</c:v>
                </c:pt>
                <c:pt idx="300">
                  <c:v>90300</c:v>
                </c:pt>
                <c:pt idx="301">
                  <c:v>90500</c:v>
                </c:pt>
                <c:pt idx="302">
                  <c:v>90600</c:v>
                </c:pt>
                <c:pt idx="303">
                  <c:v>90600</c:v>
                </c:pt>
                <c:pt idx="304">
                  <c:v>91700</c:v>
                </c:pt>
                <c:pt idx="305">
                  <c:v>91900</c:v>
                </c:pt>
                <c:pt idx="306">
                  <c:v>92100</c:v>
                </c:pt>
                <c:pt idx="307">
                  <c:v>92200</c:v>
                </c:pt>
                <c:pt idx="308">
                  <c:v>93300</c:v>
                </c:pt>
                <c:pt idx="309">
                  <c:v>94500</c:v>
                </c:pt>
                <c:pt idx="310">
                  <c:v>94800</c:v>
                </c:pt>
                <c:pt idx="311">
                  <c:v>95100</c:v>
                </c:pt>
                <c:pt idx="312">
                  <c:v>95400</c:v>
                </c:pt>
                <c:pt idx="313">
                  <c:v>95400</c:v>
                </c:pt>
                <c:pt idx="314">
                  <c:v>95600</c:v>
                </c:pt>
                <c:pt idx="315">
                  <c:v>95600</c:v>
                </c:pt>
                <c:pt idx="316">
                  <c:v>95700</c:v>
                </c:pt>
                <c:pt idx="317">
                  <c:v>95700</c:v>
                </c:pt>
                <c:pt idx="318">
                  <c:v>95700</c:v>
                </c:pt>
                <c:pt idx="319">
                  <c:v>95700</c:v>
                </c:pt>
                <c:pt idx="320">
                  <c:v>95700</c:v>
                </c:pt>
                <c:pt idx="321">
                  <c:v>96200</c:v>
                </c:pt>
                <c:pt idx="322">
                  <c:v>96900</c:v>
                </c:pt>
                <c:pt idx="323">
                  <c:v>97900</c:v>
                </c:pt>
                <c:pt idx="324">
                  <c:v>98100</c:v>
                </c:pt>
                <c:pt idx="325">
                  <c:v>98100</c:v>
                </c:pt>
                <c:pt idx="326">
                  <c:v>98100</c:v>
                </c:pt>
                <c:pt idx="327">
                  <c:v>98500</c:v>
                </c:pt>
                <c:pt idx="328">
                  <c:v>98800</c:v>
                </c:pt>
                <c:pt idx="329">
                  <c:v>98800</c:v>
                </c:pt>
                <c:pt idx="330">
                  <c:v>98800</c:v>
                </c:pt>
                <c:pt idx="331">
                  <c:v>98800</c:v>
                </c:pt>
                <c:pt idx="332">
                  <c:v>99100</c:v>
                </c:pt>
                <c:pt idx="333">
                  <c:v>99400</c:v>
                </c:pt>
                <c:pt idx="334">
                  <c:v>99500</c:v>
                </c:pt>
                <c:pt idx="335">
                  <c:v>99800</c:v>
                </c:pt>
                <c:pt idx="336">
                  <c:v>100000</c:v>
                </c:pt>
                <c:pt idx="337">
                  <c:v>100100</c:v>
                </c:pt>
                <c:pt idx="338">
                  <c:v>100100</c:v>
                </c:pt>
                <c:pt idx="339">
                  <c:v>100300</c:v>
                </c:pt>
                <c:pt idx="340">
                  <c:v>100300</c:v>
                </c:pt>
                <c:pt idx="341">
                  <c:v>100400</c:v>
                </c:pt>
                <c:pt idx="342">
                  <c:v>100500</c:v>
                </c:pt>
                <c:pt idx="343">
                  <c:v>100600</c:v>
                </c:pt>
                <c:pt idx="344">
                  <c:v>101100</c:v>
                </c:pt>
                <c:pt idx="345">
                  <c:v>101300</c:v>
                </c:pt>
                <c:pt idx="346">
                  <c:v>101700</c:v>
                </c:pt>
                <c:pt idx="347">
                  <c:v>101700</c:v>
                </c:pt>
                <c:pt idx="348">
                  <c:v>101900</c:v>
                </c:pt>
                <c:pt idx="349">
                  <c:v>102500</c:v>
                </c:pt>
                <c:pt idx="350">
                  <c:v>102900</c:v>
                </c:pt>
                <c:pt idx="351">
                  <c:v>102900</c:v>
                </c:pt>
                <c:pt idx="352">
                  <c:v>102900</c:v>
                </c:pt>
                <c:pt idx="353">
                  <c:v>102900</c:v>
                </c:pt>
                <c:pt idx="354">
                  <c:v>102900</c:v>
                </c:pt>
                <c:pt idx="355">
                  <c:v>102900</c:v>
                </c:pt>
                <c:pt idx="356">
                  <c:v>103300</c:v>
                </c:pt>
                <c:pt idx="357">
                  <c:v>103400</c:v>
                </c:pt>
                <c:pt idx="358">
                  <c:v>103600</c:v>
                </c:pt>
                <c:pt idx="359">
                  <c:v>104300</c:v>
                </c:pt>
                <c:pt idx="360">
                  <c:v>104400</c:v>
                </c:pt>
                <c:pt idx="361">
                  <c:v>104400</c:v>
                </c:pt>
                <c:pt idx="362">
                  <c:v>104600</c:v>
                </c:pt>
                <c:pt idx="363">
                  <c:v>104600</c:v>
                </c:pt>
                <c:pt idx="364">
                  <c:v>104900</c:v>
                </c:pt>
                <c:pt idx="365">
                  <c:v>105600</c:v>
                </c:pt>
                <c:pt idx="366">
                  <c:v>105800</c:v>
                </c:pt>
                <c:pt idx="367">
                  <c:v>106100</c:v>
                </c:pt>
                <c:pt idx="368">
                  <c:v>106200</c:v>
                </c:pt>
                <c:pt idx="369">
                  <c:v>106500</c:v>
                </c:pt>
                <c:pt idx="370">
                  <c:v>106700</c:v>
                </c:pt>
                <c:pt idx="371">
                  <c:v>107400</c:v>
                </c:pt>
                <c:pt idx="372">
                  <c:v>107500</c:v>
                </c:pt>
                <c:pt idx="373">
                  <c:v>107700</c:v>
                </c:pt>
                <c:pt idx="374">
                  <c:v>107800</c:v>
                </c:pt>
                <c:pt idx="375">
                  <c:v>107800</c:v>
                </c:pt>
                <c:pt idx="376">
                  <c:v>107800</c:v>
                </c:pt>
                <c:pt idx="377">
                  <c:v>107900</c:v>
                </c:pt>
                <c:pt idx="378">
                  <c:v>107900</c:v>
                </c:pt>
                <c:pt idx="379">
                  <c:v>108400</c:v>
                </c:pt>
                <c:pt idx="380">
                  <c:v>108700</c:v>
                </c:pt>
                <c:pt idx="381">
                  <c:v>108800</c:v>
                </c:pt>
                <c:pt idx="382">
                  <c:v>108900</c:v>
                </c:pt>
                <c:pt idx="383">
                  <c:v>109000</c:v>
                </c:pt>
                <c:pt idx="384">
                  <c:v>109000</c:v>
                </c:pt>
                <c:pt idx="385">
                  <c:v>109300</c:v>
                </c:pt>
                <c:pt idx="386">
                  <c:v>109600</c:v>
                </c:pt>
                <c:pt idx="387">
                  <c:v>110600</c:v>
                </c:pt>
                <c:pt idx="388">
                  <c:v>110600</c:v>
                </c:pt>
                <c:pt idx="389">
                  <c:v>111000</c:v>
                </c:pt>
                <c:pt idx="390">
                  <c:v>111000</c:v>
                </c:pt>
                <c:pt idx="391">
                  <c:v>111100</c:v>
                </c:pt>
                <c:pt idx="392">
                  <c:v>111300</c:v>
                </c:pt>
                <c:pt idx="393">
                  <c:v>111500</c:v>
                </c:pt>
                <c:pt idx="394">
                  <c:v>111700</c:v>
                </c:pt>
                <c:pt idx="395">
                  <c:v>111800</c:v>
                </c:pt>
                <c:pt idx="396">
                  <c:v>112100</c:v>
                </c:pt>
                <c:pt idx="397">
                  <c:v>112300</c:v>
                </c:pt>
                <c:pt idx="398">
                  <c:v>112300</c:v>
                </c:pt>
                <c:pt idx="399">
                  <c:v>112300</c:v>
                </c:pt>
                <c:pt idx="400">
                  <c:v>112300</c:v>
                </c:pt>
                <c:pt idx="401">
                  <c:v>112300</c:v>
                </c:pt>
                <c:pt idx="402">
                  <c:v>112400</c:v>
                </c:pt>
                <c:pt idx="403">
                  <c:v>112400</c:v>
                </c:pt>
                <c:pt idx="404">
                  <c:v>112400</c:v>
                </c:pt>
                <c:pt idx="405">
                  <c:v>112500</c:v>
                </c:pt>
                <c:pt idx="406">
                  <c:v>112600</c:v>
                </c:pt>
                <c:pt idx="407">
                  <c:v>112900</c:v>
                </c:pt>
                <c:pt idx="408">
                  <c:v>112900</c:v>
                </c:pt>
                <c:pt idx="409">
                  <c:v>113000</c:v>
                </c:pt>
                <c:pt idx="410">
                  <c:v>113000</c:v>
                </c:pt>
                <c:pt idx="411">
                  <c:v>113000</c:v>
                </c:pt>
                <c:pt idx="412">
                  <c:v>113200</c:v>
                </c:pt>
                <c:pt idx="413">
                  <c:v>113700</c:v>
                </c:pt>
                <c:pt idx="414">
                  <c:v>113700</c:v>
                </c:pt>
                <c:pt idx="415">
                  <c:v>113800</c:v>
                </c:pt>
                <c:pt idx="416">
                  <c:v>114100</c:v>
                </c:pt>
                <c:pt idx="417">
                  <c:v>114200</c:v>
                </c:pt>
                <c:pt idx="418">
                  <c:v>114200</c:v>
                </c:pt>
                <c:pt idx="419">
                  <c:v>114300</c:v>
                </c:pt>
                <c:pt idx="420">
                  <c:v>114300</c:v>
                </c:pt>
                <c:pt idx="421">
                  <c:v>114300</c:v>
                </c:pt>
                <c:pt idx="422">
                  <c:v>114300</c:v>
                </c:pt>
                <c:pt idx="423">
                  <c:v>114500</c:v>
                </c:pt>
                <c:pt idx="424">
                  <c:v>115100</c:v>
                </c:pt>
                <c:pt idx="425">
                  <c:v>115800</c:v>
                </c:pt>
                <c:pt idx="426">
                  <c:v>116500</c:v>
                </c:pt>
                <c:pt idx="427">
                  <c:v>116900</c:v>
                </c:pt>
                <c:pt idx="428">
                  <c:v>117300</c:v>
                </c:pt>
                <c:pt idx="429">
                  <c:v>117300</c:v>
                </c:pt>
                <c:pt idx="430">
                  <c:v>117624</c:v>
                </c:pt>
                <c:pt idx="431">
                  <c:v>118100</c:v>
                </c:pt>
                <c:pt idx="432">
                  <c:v>118300</c:v>
                </c:pt>
                <c:pt idx="433">
                  <c:v>119100</c:v>
                </c:pt>
                <c:pt idx="434">
                  <c:v>119100</c:v>
                </c:pt>
                <c:pt idx="435">
                  <c:v>119100</c:v>
                </c:pt>
                <c:pt idx="436">
                  <c:v>119300</c:v>
                </c:pt>
                <c:pt idx="437">
                  <c:v>119700</c:v>
                </c:pt>
                <c:pt idx="438">
                  <c:v>119700</c:v>
                </c:pt>
                <c:pt idx="439">
                  <c:v>120300</c:v>
                </c:pt>
                <c:pt idx="440">
                  <c:v>121400</c:v>
                </c:pt>
                <c:pt idx="441">
                  <c:v>121600</c:v>
                </c:pt>
                <c:pt idx="442">
                  <c:v>122200</c:v>
                </c:pt>
                <c:pt idx="443">
                  <c:v>122600</c:v>
                </c:pt>
                <c:pt idx="444">
                  <c:v>123700</c:v>
                </c:pt>
                <c:pt idx="445">
                  <c:v>123700</c:v>
                </c:pt>
                <c:pt idx="446">
                  <c:v>123900</c:v>
                </c:pt>
                <c:pt idx="447">
                  <c:v>124000</c:v>
                </c:pt>
                <c:pt idx="448">
                  <c:v>124600</c:v>
                </c:pt>
                <c:pt idx="449">
                  <c:v>125000</c:v>
                </c:pt>
                <c:pt idx="450">
                  <c:v>125100</c:v>
                </c:pt>
                <c:pt idx="451">
                  <c:v>125100</c:v>
                </c:pt>
                <c:pt idx="452">
                  <c:v>125200</c:v>
                </c:pt>
                <c:pt idx="453">
                  <c:v>125400</c:v>
                </c:pt>
                <c:pt idx="454">
                  <c:v>125400</c:v>
                </c:pt>
                <c:pt idx="455">
                  <c:v>125900</c:v>
                </c:pt>
                <c:pt idx="456">
                  <c:v>126000</c:v>
                </c:pt>
                <c:pt idx="457">
                  <c:v>126200</c:v>
                </c:pt>
                <c:pt idx="458">
                  <c:v>126200</c:v>
                </c:pt>
                <c:pt idx="459">
                  <c:v>126200</c:v>
                </c:pt>
                <c:pt idx="460">
                  <c:v>126200</c:v>
                </c:pt>
                <c:pt idx="461">
                  <c:v>126200</c:v>
                </c:pt>
                <c:pt idx="462">
                  <c:v>126200</c:v>
                </c:pt>
                <c:pt idx="463">
                  <c:v>126200</c:v>
                </c:pt>
                <c:pt idx="464">
                  <c:v>126200</c:v>
                </c:pt>
                <c:pt idx="465">
                  <c:v>126200</c:v>
                </c:pt>
                <c:pt idx="466">
                  <c:v>126200</c:v>
                </c:pt>
                <c:pt idx="467">
                  <c:v>126200</c:v>
                </c:pt>
                <c:pt idx="468">
                  <c:v>126400</c:v>
                </c:pt>
                <c:pt idx="469">
                  <c:v>126600</c:v>
                </c:pt>
                <c:pt idx="470">
                  <c:v>126700</c:v>
                </c:pt>
                <c:pt idx="471">
                  <c:v>127000</c:v>
                </c:pt>
                <c:pt idx="472">
                  <c:v>127000</c:v>
                </c:pt>
                <c:pt idx="473">
                  <c:v>127300</c:v>
                </c:pt>
                <c:pt idx="474">
                  <c:v>127300</c:v>
                </c:pt>
                <c:pt idx="475">
                  <c:v>127400</c:v>
                </c:pt>
                <c:pt idx="476">
                  <c:v>127900</c:v>
                </c:pt>
                <c:pt idx="477">
                  <c:v>128100</c:v>
                </c:pt>
                <c:pt idx="478">
                  <c:v>128400</c:v>
                </c:pt>
                <c:pt idx="479">
                  <c:v>128700</c:v>
                </c:pt>
                <c:pt idx="480">
                  <c:v>128800</c:v>
                </c:pt>
                <c:pt idx="481">
                  <c:v>128800</c:v>
                </c:pt>
                <c:pt idx="482">
                  <c:v>129100</c:v>
                </c:pt>
                <c:pt idx="483">
                  <c:v>129100</c:v>
                </c:pt>
                <c:pt idx="484">
                  <c:v>129100</c:v>
                </c:pt>
                <c:pt idx="485">
                  <c:v>129100</c:v>
                </c:pt>
                <c:pt idx="486">
                  <c:v>129100</c:v>
                </c:pt>
                <c:pt idx="487">
                  <c:v>129100</c:v>
                </c:pt>
                <c:pt idx="488">
                  <c:v>129100</c:v>
                </c:pt>
                <c:pt idx="489">
                  <c:v>129100</c:v>
                </c:pt>
                <c:pt idx="490">
                  <c:v>129100</c:v>
                </c:pt>
                <c:pt idx="491">
                  <c:v>129100</c:v>
                </c:pt>
                <c:pt idx="492">
                  <c:v>129100</c:v>
                </c:pt>
                <c:pt idx="493">
                  <c:v>129100</c:v>
                </c:pt>
                <c:pt idx="494">
                  <c:v>129100</c:v>
                </c:pt>
                <c:pt idx="495">
                  <c:v>129100</c:v>
                </c:pt>
                <c:pt idx="496">
                  <c:v>129100</c:v>
                </c:pt>
                <c:pt idx="497">
                  <c:v>129100</c:v>
                </c:pt>
                <c:pt idx="498">
                  <c:v>129100</c:v>
                </c:pt>
                <c:pt idx="499">
                  <c:v>129100</c:v>
                </c:pt>
                <c:pt idx="500">
                  <c:v>129100</c:v>
                </c:pt>
                <c:pt idx="501">
                  <c:v>129100</c:v>
                </c:pt>
                <c:pt idx="502">
                  <c:v>129300</c:v>
                </c:pt>
                <c:pt idx="503">
                  <c:v>129300</c:v>
                </c:pt>
                <c:pt idx="504">
                  <c:v>129300</c:v>
                </c:pt>
                <c:pt idx="505">
                  <c:v>129300</c:v>
                </c:pt>
                <c:pt idx="506">
                  <c:v>129400</c:v>
                </c:pt>
                <c:pt idx="507">
                  <c:v>129400</c:v>
                </c:pt>
                <c:pt idx="508">
                  <c:v>129400</c:v>
                </c:pt>
                <c:pt idx="509">
                  <c:v>129400</c:v>
                </c:pt>
                <c:pt idx="510">
                  <c:v>129400</c:v>
                </c:pt>
                <c:pt idx="511">
                  <c:v>129400</c:v>
                </c:pt>
                <c:pt idx="512">
                  <c:v>129400</c:v>
                </c:pt>
                <c:pt idx="513">
                  <c:v>129400</c:v>
                </c:pt>
                <c:pt idx="514">
                  <c:v>129400</c:v>
                </c:pt>
                <c:pt idx="515">
                  <c:v>129400</c:v>
                </c:pt>
                <c:pt idx="516">
                  <c:v>129400</c:v>
                </c:pt>
                <c:pt idx="517">
                  <c:v>129600</c:v>
                </c:pt>
                <c:pt idx="518">
                  <c:v>129700</c:v>
                </c:pt>
                <c:pt idx="519">
                  <c:v>129700</c:v>
                </c:pt>
                <c:pt idx="520">
                  <c:v>129700</c:v>
                </c:pt>
                <c:pt idx="521">
                  <c:v>130300</c:v>
                </c:pt>
                <c:pt idx="522">
                  <c:v>130700</c:v>
                </c:pt>
                <c:pt idx="523">
                  <c:v>130700</c:v>
                </c:pt>
                <c:pt idx="524">
                  <c:v>130700</c:v>
                </c:pt>
                <c:pt idx="525">
                  <c:v>130700</c:v>
                </c:pt>
                <c:pt idx="526">
                  <c:v>130700</c:v>
                </c:pt>
                <c:pt idx="527">
                  <c:v>130800</c:v>
                </c:pt>
                <c:pt idx="528">
                  <c:v>130900</c:v>
                </c:pt>
                <c:pt idx="529">
                  <c:v>131200</c:v>
                </c:pt>
                <c:pt idx="530">
                  <c:v>131300</c:v>
                </c:pt>
                <c:pt idx="531">
                  <c:v>131700</c:v>
                </c:pt>
                <c:pt idx="532">
                  <c:v>132000</c:v>
                </c:pt>
                <c:pt idx="533">
                  <c:v>132200</c:v>
                </c:pt>
                <c:pt idx="534">
                  <c:v>132300</c:v>
                </c:pt>
                <c:pt idx="535">
                  <c:v>132600</c:v>
                </c:pt>
                <c:pt idx="536">
                  <c:v>132900</c:v>
                </c:pt>
                <c:pt idx="537">
                  <c:v>132900</c:v>
                </c:pt>
                <c:pt idx="538">
                  <c:v>132900</c:v>
                </c:pt>
                <c:pt idx="539">
                  <c:v>133800</c:v>
                </c:pt>
                <c:pt idx="540">
                  <c:v>133900</c:v>
                </c:pt>
                <c:pt idx="541">
                  <c:v>134300</c:v>
                </c:pt>
                <c:pt idx="542">
                  <c:v>134400</c:v>
                </c:pt>
                <c:pt idx="543">
                  <c:v>134500</c:v>
                </c:pt>
                <c:pt idx="544">
                  <c:v>134600</c:v>
                </c:pt>
                <c:pt idx="545">
                  <c:v>134700</c:v>
                </c:pt>
                <c:pt idx="546">
                  <c:v>135000</c:v>
                </c:pt>
                <c:pt idx="547">
                  <c:v>135400</c:v>
                </c:pt>
                <c:pt idx="548">
                  <c:v>135500</c:v>
                </c:pt>
                <c:pt idx="549">
                  <c:v>135800</c:v>
                </c:pt>
                <c:pt idx="550">
                  <c:v>135900</c:v>
                </c:pt>
                <c:pt idx="551">
                  <c:v>135900</c:v>
                </c:pt>
                <c:pt idx="552">
                  <c:v>135900</c:v>
                </c:pt>
                <c:pt idx="553">
                  <c:v>136500</c:v>
                </c:pt>
                <c:pt idx="554">
                  <c:v>136500</c:v>
                </c:pt>
                <c:pt idx="555">
                  <c:v>136700</c:v>
                </c:pt>
                <c:pt idx="556">
                  <c:v>137000</c:v>
                </c:pt>
                <c:pt idx="557">
                  <c:v>137200</c:v>
                </c:pt>
                <c:pt idx="558">
                  <c:v>137500</c:v>
                </c:pt>
                <c:pt idx="559">
                  <c:v>138200</c:v>
                </c:pt>
                <c:pt idx="560">
                  <c:v>138400</c:v>
                </c:pt>
                <c:pt idx="561">
                  <c:v>138700</c:v>
                </c:pt>
                <c:pt idx="562">
                  <c:v>139100</c:v>
                </c:pt>
                <c:pt idx="563">
                  <c:v>139600</c:v>
                </c:pt>
                <c:pt idx="564">
                  <c:v>139600</c:v>
                </c:pt>
                <c:pt idx="565">
                  <c:v>139900</c:v>
                </c:pt>
                <c:pt idx="566">
                  <c:v>140000</c:v>
                </c:pt>
                <c:pt idx="567">
                  <c:v>140000</c:v>
                </c:pt>
                <c:pt idx="568">
                  <c:v>140000</c:v>
                </c:pt>
                <c:pt idx="569">
                  <c:v>140100</c:v>
                </c:pt>
                <c:pt idx="570">
                  <c:v>140300</c:v>
                </c:pt>
                <c:pt idx="571">
                  <c:v>140500</c:v>
                </c:pt>
                <c:pt idx="572">
                  <c:v>141500</c:v>
                </c:pt>
                <c:pt idx="573">
                  <c:v>141800</c:v>
                </c:pt>
                <c:pt idx="574">
                  <c:v>141900</c:v>
                </c:pt>
                <c:pt idx="575">
                  <c:v>141900</c:v>
                </c:pt>
                <c:pt idx="576">
                  <c:v>141900</c:v>
                </c:pt>
                <c:pt idx="577">
                  <c:v>142300</c:v>
                </c:pt>
                <c:pt idx="578">
                  <c:v>142500</c:v>
                </c:pt>
                <c:pt idx="579">
                  <c:v>142800</c:v>
                </c:pt>
                <c:pt idx="580">
                  <c:v>143100</c:v>
                </c:pt>
                <c:pt idx="581">
                  <c:v>143400</c:v>
                </c:pt>
                <c:pt idx="582">
                  <c:v>143600</c:v>
                </c:pt>
                <c:pt idx="583">
                  <c:v>144000</c:v>
                </c:pt>
                <c:pt idx="584">
                  <c:v>144200</c:v>
                </c:pt>
                <c:pt idx="585">
                  <c:v>144300</c:v>
                </c:pt>
                <c:pt idx="586">
                  <c:v>144500</c:v>
                </c:pt>
                <c:pt idx="587">
                  <c:v>145000</c:v>
                </c:pt>
                <c:pt idx="588">
                  <c:v>145200</c:v>
                </c:pt>
                <c:pt idx="589">
                  <c:v>145200</c:v>
                </c:pt>
                <c:pt idx="590">
                  <c:v>145500</c:v>
                </c:pt>
                <c:pt idx="591">
                  <c:v>145600</c:v>
                </c:pt>
                <c:pt idx="592">
                  <c:v>146300</c:v>
                </c:pt>
                <c:pt idx="593">
                  <c:v>146352</c:v>
                </c:pt>
                <c:pt idx="594">
                  <c:v>146500</c:v>
                </c:pt>
                <c:pt idx="595">
                  <c:v>146600</c:v>
                </c:pt>
                <c:pt idx="596">
                  <c:v>146700</c:v>
                </c:pt>
                <c:pt idx="597">
                  <c:v>147500</c:v>
                </c:pt>
                <c:pt idx="598">
                  <c:v>147500</c:v>
                </c:pt>
                <c:pt idx="599">
                  <c:v>147600</c:v>
                </c:pt>
                <c:pt idx="600">
                  <c:v>147787</c:v>
                </c:pt>
                <c:pt idx="601">
                  <c:v>148100</c:v>
                </c:pt>
                <c:pt idx="602">
                  <c:v>148200</c:v>
                </c:pt>
                <c:pt idx="603">
                  <c:v>148300</c:v>
                </c:pt>
                <c:pt idx="604">
                  <c:v>148300</c:v>
                </c:pt>
                <c:pt idx="605">
                  <c:v>148700</c:v>
                </c:pt>
                <c:pt idx="606">
                  <c:v>148700</c:v>
                </c:pt>
                <c:pt idx="607">
                  <c:v>148900</c:v>
                </c:pt>
                <c:pt idx="608">
                  <c:v>148900</c:v>
                </c:pt>
                <c:pt idx="609">
                  <c:v>149100</c:v>
                </c:pt>
                <c:pt idx="610">
                  <c:v>149500</c:v>
                </c:pt>
                <c:pt idx="611">
                  <c:v>149700</c:v>
                </c:pt>
                <c:pt idx="612">
                  <c:v>149800</c:v>
                </c:pt>
                <c:pt idx="613">
                  <c:v>149900</c:v>
                </c:pt>
                <c:pt idx="614">
                  <c:v>150100</c:v>
                </c:pt>
                <c:pt idx="615">
                  <c:v>150200</c:v>
                </c:pt>
                <c:pt idx="616">
                  <c:v>150300</c:v>
                </c:pt>
                <c:pt idx="617">
                  <c:v>150300</c:v>
                </c:pt>
                <c:pt idx="618">
                  <c:v>150400</c:v>
                </c:pt>
                <c:pt idx="619">
                  <c:v>150400</c:v>
                </c:pt>
                <c:pt idx="620">
                  <c:v>150500</c:v>
                </c:pt>
                <c:pt idx="621">
                  <c:v>151000</c:v>
                </c:pt>
                <c:pt idx="622">
                  <c:v>151000</c:v>
                </c:pt>
                <c:pt idx="623">
                  <c:v>151200</c:v>
                </c:pt>
                <c:pt idx="624">
                  <c:v>151300</c:v>
                </c:pt>
                <c:pt idx="625">
                  <c:v>151400</c:v>
                </c:pt>
                <c:pt idx="626">
                  <c:v>151700</c:v>
                </c:pt>
                <c:pt idx="627">
                  <c:v>151900</c:v>
                </c:pt>
                <c:pt idx="628">
                  <c:v>151900</c:v>
                </c:pt>
                <c:pt idx="629">
                  <c:v>152000</c:v>
                </c:pt>
                <c:pt idx="630">
                  <c:v>152000</c:v>
                </c:pt>
                <c:pt idx="631">
                  <c:v>152100</c:v>
                </c:pt>
                <c:pt idx="632">
                  <c:v>152100</c:v>
                </c:pt>
                <c:pt idx="633">
                  <c:v>152200</c:v>
                </c:pt>
                <c:pt idx="634">
                  <c:v>152400</c:v>
                </c:pt>
                <c:pt idx="635">
                  <c:v>152400</c:v>
                </c:pt>
                <c:pt idx="636">
                  <c:v>152500</c:v>
                </c:pt>
                <c:pt idx="637">
                  <c:v>152600</c:v>
                </c:pt>
                <c:pt idx="638">
                  <c:v>152649</c:v>
                </c:pt>
                <c:pt idx="639">
                  <c:v>153100</c:v>
                </c:pt>
                <c:pt idx="640">
                  <c:v>153100</c:v>
                </c:pt>
                <c:pt idx="641">
                  <c:v>153600</c:v>
                </c:pt>
                <c:pt idx="642">
                  <c:v>153800</c:v>
                </c:pt>
                <c:pt idx="643">
                  <c:v>153800</c:v>
                </c:pt>
                <c:pt idx="644">
                  <c:v>154000</c:v>
                </c:pt>
                <c:pt idx="645">
                  <c:v>154500</c:v>
                </c:pt>
                <c:pt idx="646">
                  <c:v>154700</c:v>
                </c:pt>
                <c:pt idx="647">
                  <c:v>154700</c:v>
                </c:pt>
                <c:pt idx="648">
                  <c:v>154700</c:v>
                </c:pt>
                <c:pt idx="649">
                  <c:v>154800</c:v>
                </c:pt>
                <c:pt idx="650">
                  <c:v>155100</c:v>
                </c:pt>
                <c:pt idx="651">
                  <c:v>155100</c:v>
                </c:pt>
                <c:pt idx="652">
                  <c:v>155400</c:v>
                </c:pt>
                <c:pt idx="653">
                  <c:v>155400</c:v>
                </c:pt>
                <c:pt idx="654">
                  <c:v>155400</c:v>
                </c:pt>
                <c:pt idx="655">
                  <c:v>155600</c:v>
                </c:pt>
                <c:pt idx="656">
                  <c:v>155800</c:v>
                </c:pt>
                <c:pt idx="657">
                  <c:v>155800</c:v>
                </c:pt>
                <c:pt idx="658">
                  <c:v>155805</c:v>
                </c:pt>
                <c:pt idx="659">
                  <c:v>156000</c:v>
                </c:pt>
                <c:pt idx="660">
                  <c:v>156000</c:v>
                </c:pt>
                <c:pt idx="661">
                  <c:v>156400</c:v>
                </c:pt>
                <c:pt idx="662">
                  <c:v>156500</c:v>
                </c:pt>
                <c:pt idx="663">
                  <c:v>156600</c:v>
                </c:pt>
                <c:pt idx="664">
                  <c:v>156800</c:v>
                </c:pt>
                <c:pt idx="665">
                  <c:v>156800</c:v>
                </c:pt>
                <c:pt idx="666">
                  <c:v>156800</c:v>
                </c:pt>
                <c:pt idx="667">
                  <c:v>156800</c:v>
                </c:pt>
                <c:pt idx="668">
                  <c:v>156800</c:v>
                </c:pt>
                <c:pt idx="669">
                  <c:v>156800</c:v>
                </c:pt>
                <c:pt idx="670">
                  <c:v>156800</c:v>
                </c:pt>
                <c:pt idx="671">
                  <c:v>156800</c:v>
                </c:pt>
                <c:pt idx="672">
                  <c:v>156900</c:v>
                </c:pt>
                <c:pt idx="673">
                  <c:v>156925</c:v>
                </c:pt>
                <c:pt idx="674">
                  <c:v>157000</c:v>
                </c:pt>
                <c:pt idx="675">
                  <c:v>157000</c:v>
                </c:pt>
                <c:pt idx="676">
                  <c:v>157100</c:v>
                </c:pt>
                <c:pt idx="677">
                  <c:v>157100</c:v>
                </c:pt>
                <c:pt idx="678">
                  <c:v>157100</c:v>
                </c:pt>
                <c:pt idx="679">
                  <c:v>157600</c:v>
                </c:pt>
                <c:pt idx="680">
                  <c:v>157600</c:v>
                </c:pt>
                <c:pt idx="681">
                  <c:v>157600</c:v>
                </c:pt>
                <c:pt idx="682">
                  <c:v>157600</c:v>
                </c:pt>
                <c:pt idx="683">
                  <c:v>157700</c:v>
                </c:pt>
                <c:pt idx="684">
                  <c:v>157800</c:v>
                </c:pt>
                <c:pt idx="685">
                  <c:v>157800</c:v>
                </c:pt>
                <c:pt idx="686">
                  <c:v>157800</c:v>
                </c:pt>
                <c:pt idx="687">
                  <c:v>157900</c:v>
                </c:pt>
                <c:pt idx="688">
                  <c:v>157900</c:v>
                </c:pt>
                <c:pt idx="689">
                  <c:v>157900</c:v>
                </c:pt>
                <c:pt idx="690">
                  <c:v>158200</c:v>
                </c:pt>
                <c:pt idx="691">
                  <c:v>158300</c:v>
                </c:pt>
                <c:pt idx="692">
                  <c:v>158700</c:v>
                </c:pt>
                <c:pt idx="693">
                  <c:v>158800</c:v>
                </c:pt>
                <c:pt idx="694">
                  <c:v>158800</c:v>
                </c:pt>
                <c:pt idx="695">
                  <c:v>159000</c:v>
                </c:pt>
                <c:pt idx="696">
                  <c:v>159000</c:v>
                </c:pt>
                <c:pt idx="697">
                  <c:v>159100</c:v>
                </c:pt>
                <c:pt idx="698">
                  <c:v>159300</c:v>
                </c:pt>
                <c:pt idx="699">
                  <c:v>159300</c:v>
                </c:pt>
                <c:pt idx="700">
                  <c:v>159300</c:v>
                </c:pt>
                <c:pt idx="701">
                  <c:v>159600</c:v>
                </c:pt>
                <c:pt idx="702">
                  <c:v>159900</c:v>
                </c:pt>
                <c:pt idx="703">
                  <c:v>160000</c:v>
                </c:pt>
                <c:pt idx="704">
                  <c:v>160000</c:v>
                </c:pt>
                <c:pt idx="705">
                  <c:v>160000</c:v>
                </c:pt>
                <c:pt idx="706">
                  <c:v>160000</c:v>
                </c:pt>
                <c:pt idx="707">
                  <c:v>160000</c:v>
                </c:pt>
                <c:pt idx="708">
                  <c:v>160100</c:v>
                </c:pt>
                <c:pt idx="709">
                  <c:v>160100</c:v>
                </c:pt>
                <c:pt idx="710">
                  <c:v>160200</c:v>
                </c:pt>
                <c:pt idx="711">
                  <c:v>160400</c:v>
                </c:pt>
                <c:pt idx="712">
                  <c:v>161300</c:v>
                </c:pt>
                <c:pt idx="713">
                  <c:v>161500</c:v>
                </c:pt>
                <c:pt idx="714">
                  <c:v>161600</c:v>
                </c:pt>
                <c:pt idx="715">
                  <c:v>161700</c:v>
                </c:pt>
                <c:pt idx="716">
                  <c:v>161700</c:v>
                </c:pt>
                <c:pt idx="717">
                  <c:v>161800</c:v>
                </c:pt>
                <c:pt idx="718">
                  <c:v>162100</c:v>
                </c:pt>
                <c:pt idx="719">
                  <c:v>162200</c:v>
                </c:pt>
                <c:pt idx="720">
                  <c:v>162300</c:v>
                </c:pt>
                <c:pt idx="721">
                  <c:v>162400</c:v>
                </c:pt>
                <c:pt idx="722">
                  <c:v>162500</c:v>
                </c:pt>
                <c:pt idx="723">
                  <c:v>162600</c:v>
                </c:pt>
                <c:pt idx="724">
                  <c:v>162700</c:v>
                </c:pt>
                <c:pt idx="725">
                  <c:v>162800</c:v>
                </c:pt>
                <c:pt idx="726">
                  <c:v>162900</c:v>
                </c:pt>
                <c:pt idx="727">
                  <c:v>162900</c:v>
                </c:pt>
                <c:pt idx="728">
                  <c:v>162900</c:v>
                </c:pt>
                <c:pt idx="729">
                  <c:v>162900</c:v>
                </c:pt>
                <c:pt idx="730">
                  <c:v>162900</c:v>
                </c:pt>
                <c:pt idx="731">
                  <c:v>162900</c:v>
                </c:pt>
                <c:pt idx="732">
                  <c:v>162900</c:v>
                </c:pt>
                <c:pt idx="733">
                  <c:v>163300</c:v>
                </c:pt>
                <c:pt idx="734">
                  <c:v>163400</c:v>
                </c:pt>
                <c:pt idx="735">
                  <c:v>163500</c:v>
                </c:pt>
                <c:pt idx="736">
                  <c:v>163600</c:v>
                </c:pt>
                <c:pt idx="737">
                  <c:v>163600</c:v>
                </c:pt>
                <c:pt idx="738">
                  <c:v>163600</c:v>
                </c:pt>
                <c:pt idx="739">
                  <c:v>163700</c:v>
                </c:pt>
                <c:pt idx="740">
                  <c:v>164100</c:v>
                </c:pt>
                <c:pt idx="741">
                  <c:v>164200</c:v>
                </c:pt>
                <c:pt idx="742">
                  <c:v>164300</c:v>
                </c:pt>
                <c:pt idx="743">
                  <c:v>164400</c:v>
                </c:pt>
                <c:pt idx="744">
                  <c:v>164400</c:v>
                </c:pt>
                <c:pt idx="745">
                  <c:v>164600</c:v>
                </c:pt>
                <c:pt idx="746">
                  <c:v>164800</c:v>
                </c:pt>
                <c:pt idx="747">
                  <c:v>164900</c:v>
                </c:pt>
                <c:pt idx="748">
                  <c:v>164900</c:v>
                </c:pt>
                <c:pt idx="749">
                  <c:v>165100</c:v>
                </c:pt>
                <c:pt idx="750">
                  <c:v>165300</c:v>
                </c:pt>
                <c:pt idx="751">
                  <c:v>165600</c:v>
                </c:pt>
                <c:pt idx="752">
                  <c:v>165900</c:v>
                </c:pt>
                <c:pt idx="753">
                  <c:v>165900</c:v>
                </c:pt>
                <c:pt idx="754">
                  <c:v>166000</c:v>
                </c:pt>
                <c:pt idx="755">
                  <c:v>166300</c:v>
                </c:pt>
                <c:pt idx="756">
                  <c:v>166400</c:v>
                </c:pt>
                <c:pt idx="757">
                  <c:v>166500</c:v>
                </c:pt>
                <c:pt idx="758">
                  <c:v>166600</c:v>
                </c:pt>
                <c:pt idx="759">
                  <c:v>166600</c:v>
                </c:pt>
                <c:pt idx="760">
                  <c:v>166600</c:v>
                </c:pt>
                <c:pt idx="761">
                  <c:v>166600</c:v>
                </c:pt>
                <c:pt idx="762">
                  <c:v>166700</c:v>
                </c:pt>
                <c:pt idx="763">
                  <c:v>166800</c:v>
                </c:pt>
                <c:pt idx="764">
                  <c:v>166800</c:v>
                </c:pt>
                <c:pt idx="765">
                  <c:v>167000</c:v>
                </c:pt>
                <c:pt idx="766">
                  <c:v>167000</c:v>
                </c:pt>
                <c:pt idx="767">
                  <c:v>167000</c:v>
                </c:pt>
                <c:pt idx="768">
                  <c:v>167100</c:v>
                </c:pt>
                <c:pt idx="769">
                  <c:v>167200</c:v>
                </c:pt>
                <c:pt idx="770">
                  <c:v>167400</c:v>
                </c:pt>
                <c:pt idx="771">
                  <c:v>167400</c:v>
                </c:pt>
                <c:pt idx="772">
                  <c:v>167500</c:v>
                </c:pt>
                <c:pt idx="773">
                  <c:v>167500</c:v>
                </c:pt>
                <c:pt idx="774">
                  <c:v>167500</c:v>
                </c:pt>
                <c:pt idx="775">
                  <c:v>167500</c:v>
                </c:pt>
                <c:pt idx="776">
                  <c:v>167600</c:v>
                </c:pt>
                <c:pt idx="777">
                  <c:v>167600</c:v>
                </c:pt>
                <c:pt idx="778">
                  <c:v>167700</c:v>
                </c:pt>
                <c:pt idx="779">
                  <c:v>167700</c:v>
                </c:pt>
                <c:pt idx="780">
                  <c:v>167700</c:v>
                </c:pt>
                <c:pt idx="781">
                  <c:v>167900</c:v>
                </c:pt>
                <c:pt idx="782">
                  <c:v>168000</c:v>
                </c:pt>
                <c:pt idx="783">
                  <c:v>168200</c:v>
                </c:pt>
                <c:pt idx="784">
                  <c:v>168200</c:v>
                </c:pt>
                <c:pt idx="785">
                  <c:v>168300</c:v>
                </c:pt>
                <c:pt idx="786">
                  <c:v>168300</c:v>
                </c:pt>
                <c:pt idx="787">
                  <c:v>168500</c:v>
                </c:pt>
                <c:pt idx="788">
                  <c:v>168700</c:v>
                </c:pt>
                <c:pt idx="789">
                  <c:v>168700</c:v>
                </c:pt>
                <c:pt idx="790">
                  <c:v>169000</c:v>
                </c:pt>
                <c:pt idx="791">
                  <c:v>169200</c:v>
                </c:pt>
                <c:pt idx="792">
                  <c:v>169400</c:v>
                </c:pt>
                <c:pt idx="793">
                  <c:v>169400</c:v>
                </c:pt>
                <c:pt idx="794">
                  <c:v>169500</c:v>
                </c:pt>
                <c:pt idx="795">
                  <c:v>169500</c:v>
                </c:pt>
                <c:pt idx="796">
                  <c:v>169700</c:v>
                </c:pt>
                <c:pt idx="797">
                  <c:v>169700</c:v>
                </c:pt>
                <c:pt idx="798">
                  <c:v>169800</c:v>
                </c:pt>
                <c:pt idx="799">
                  <c:v>169800</c:v>
                </c:pt>
                <c:pt idx="800">
                  <c:v>170000</c:v>
                </c:pt>
                <c:pt idx="801">
                  <c:v>170100</c:v>
                </c:pt>
                <c:pt idx="802">
                  <c:v>170200</c:v>
                </c:pt>
                <c:pt idx="803">
                  <c:v>170900</c:v>
                </c:pt>
                <c:pt idx="804">
                  <c:v>170900</c:v>
                </c:pt>
                <c:pt idx="805">
                  <c:v>170900</c:v>
                </c:pt>
                <c:pt idx="806">
                  <c:v>171000</c:v>
                </c:pt>
                <c:pt idx="807">
                  <c:v>171200</c:v>
                </c:pt>
                <c:pt idx="808">
                  <c:v>171200</c:v>
                </c:pt>
                <c:pt idx="809">
                  <c:v>171400</c:v>
                </c:pt>
                <c:pt idx="810">
                  <c:v>171600</c:v>
                </c:pt>
                <c:pt idx="811">
                  <c:v>171800</c:v>
                </c:pt>
                <c:pt idx="812">
                  <c:v>171800</c:v>
                </c:pt>
                <c:pt idx="813">
                  <c:v>171800</c:v>
                </c:pt>
                <c:pt idx="814">
                  <c:v>171800</c:v>
                </c:pt>
                <c:pt idx="815">
                  <c:v>171800</c:v>
                </c:pt>
                <c:pt idx="816">
                  <c:v>171900</c:v>
                </c:pt>
                <c:pt idx="817">
                  <c:v>172000</c:v>
                </c:pt>
                <c:pt idx="818">
                  <c:v>172000</c:v>
                </c:pt>
                <c:pt idx="819">
                  <c:v>172000</c:v>
                </c:pt>
                <c:pt idx="820">
                  <c:v>172200</c:v>
                </c:pt>
                <c:pt idx="821">
                  <c:v>172200</c:v>
                </c:pt>
                <c:pt idx="822">
                  <c:v>172500</c:v>
                </c:pt>
                <c:pt idx="823">
                  <c:v>172584</c:v>
                </c:pt>
                <c:pt idx="824">
                  <c:v>172600</c:v>
                </c:pt>
                <c:pt idx="825">
                  <c:v>172700</c:v>
                </c:pt>
                <c:pt idx="826">
                  <c:v>172900</c:v>
                </c:pt>
                <c:pt idx="827">
                  <c:v>173000</c:v>
                </c:pt>
                <c:pt idx="828">
                  <c:v>173100</c:v>
                </c:pt>
                <c:pt idx="829">
                  <c:v>173300</c:v>
                </c:pt>
                <c:pt idx="830">
                  <c:v>173400</c:v>
                </c:pt>
                <c:pt idx="831">
                  <c:v>173500</c:v>
                </c:pt>
                <c:pt idx="832">
                  <c:v>173500</c:v>
                </c:pt>
                <c:pt idx="833">
                  <c:v>173600</c:v>
                </c:pt>
                <c:pt idx="834">
                  <c:v>173600</c:v>
                </c:pt>
                <c:pt idx="835">
                  <c:v>173600</c:v>
                </c:pt>
                <c:pt idx="836">
                  <c:v>173600</c:v>
                </c:pt>
                <c:pt idx="837">
                  <c:v>173700</c:v>
                </c:pt>
                <c:pt idx="838">
                  <c:v>173900</c:v>
                </c:pt>
                <c:pt idx="839">
                  <c:v>174000</c:v>
                </c:pt>
                <c:pt idx="840">
                  <c:v>174000</c:v>
                </c:pt>
                <c:pt idx="841">
                  <c:v>174100</c:v>
                </c:pt>
                <c:pt idx="842">
                  <c:v>174400</c:v>
                </c:pt>
                <c:pt idx="843">
                  <c:v>174400</c:v>
                </c:pt>
                <c:pt idx="844">
                  <c:v>174500</c:v>
                </c:pt>
                <c:pt idx="845">
                  <c:v>174500</c:v>
                </c:pt>
                <c:pt idx="846">
                  <c:v>174600</c:v>
                </c:pt>
                <c:pt idx="847">
                  <c:v>174700</c:v>
                </c:pt>
                <c:pt idx="848">
                  <c:v>174700</c:v>
                </c:pt>
                <c:pt idx="849">
                  <c:v>174700</c:v>
                </c:pt>
                <c:pt idx="850">
                  <c:v>174900</c:v>
                </c:pt>
                <c:pt idx="851">
                  <c:v>174900</c:v>
                </c:pt>
                <c:pt idx="852">
                  <c:v>175000</c:v>
                </c:pt>
                <c:pt idx="853">
                  <c:v>175100</c:v>
                </c:pt>
                <c:pt idx="854">
                  <c:v>175100</c:v>
                </c:pt>
                <c:pt idx="855">
                  <c:v>175300</c:v>
                </c:pt>
                <c:pt idx="856">
                  <c:v>175400</c:v>
                </c:pt>
                <c:pt idx="857">
                  <c:v>175400</c:v>
                </c:pt>
                <c:pt idx="858">
                  <c:v>175400</c:v>
                </c:pt>
                <c:pt idx="859">
                  <c:v>175500</c:v>
                </c:pt>
                <c:pt idx="860">
                  <c:v>175600</c:v>
                </c:pt>
                <c:pt idx="861">
                  <c:v>175600</c:v>
                </c:pt>
                <c:pt idx="862">
                  <c:v>175700</c:v>
                </c:pt>
                <c:pt idx="863">
                  <c:v>175900</c:v>
                </c:pt>
                <c:pt idx="864">
                  <c:v>176100</c:v>
                </c:pt>
                <c:pt idx="865">
                  <c:v>176200</c:v>
                </c:pt>
                <c:pt idx="866">
                  <c:v>176300</c:v>
                </c:pt>
                <c:pt idx="867">
                  <c:v>176300</c:v>
                </c:pt>
                <c:pt idx="868">
                  <c:v>176300</c:v>
                </c:pt>
                <c:pt idx="869">
                  <c:v>176400</c:v>
                </c:pt>
                <c:pt idx="870">
                  <c:v>176400</c:v>
                </c:pt>
                <c:pt idx="871">
                  <c:v>176400</c:v>
                </c:pt>
                <c:pt idx="872">
                  <c:v>176400</c:v>
                </c:pt>
                <c:pt idx="873">
                  <c:v>176400</c:v>
                </c:pt>
                <c:pt idx="874">
                  <c:v>176500</c:v>
                </c:pt>
                <c:pt idx="875">
                  <c:v>176600</c:v>
                </c:pt>
                <c:pt idx="876">
                  <c:v>176600</c:v>
                </c:pt>
                <c:pt idx="877">
                  <c:v>176600</c:v>
                </c:pt>
                <c:pt idx="878">
                  <c:v>176700</c:v>
                </c:pt>
                <c:pt idx="879">
                  <c:v>176800</c:v>
                </c:pt>
                <c:pt idx="880">
                  <c:v>176900</c:v>
                </c:pt>
                <c:pt idx="881">
                  <c:v>177000</c:v>
                </c:pt>
                <c:pt idx="882">
                  <c:v>177400</c:v>
                </c:pt>
                <c:pt idx="883">
                  <c:v>177400</c:v>
                </c:pt>
                <c:pt idx="884">
                  <c:v>177600</c:v>
                </c:pt>
                <c:pt idx="885">
                  <c:v>177700</c:v>
                </c:pt>
                <c:pt idx="886">
                  <c:v>177800</c:v>
                </c:pt>
                <c:pt idx="887">
                  <c:v>177900</c:v>
                </c:pt>
                <c:pt idx="888">
                  <c:v>178000</c:v>
                </c:pt>
                <c:pt idx="889">
                  <c:v>178000</c:v>
                </c:pt>
                <c:pt idx="890">
                  <c:v>178100</c:v>
                </c:pt>
                <c:pt idx="891">
                  <c:v>178100</c:v>
                </c:pt>
                <c:pt idx="892">
                  <c:v>178200</c:v>
                </c:pt>
                <c:pt idx="893">
                  <c:v>178200</c:v>
                </c:pt>
                <c:pt idx="894">
                  <c:v>178300</c:v>
                </c:pt>
                <c:pt idx="895">
                  <c:v>178500</c:v>
                </c:pt>
                <c:pt idx="896">
                  <c:v>178500</c:v>
                </c:pt>
                <c:pt idx="897">
                  <c:v>178600</c:v>
                </c:pt>
                <c:pt idx="898">
                  <c:v>178700</c:v>
                </c:pt>
                <c:pt idx="899">
                  <c:v>178800</c:v>
                </c:pt>
                <c:pt idx="900">
                  <c:v>178900</c:v>
                </c:pt>
                <c:pt idx="901">
                  <c:v>179000</c:v>
                </c:pt>
                <c:pt idx="902">
                  <c:v>179000</c:v>
                </c:pt>
                <c:pt idx="903">
                  <c:v>179100</c:v>
                </c:pt>
                <c:pt idx="904">
                  <c:v>179200</c:v>
                </c:pt>
                <c:pt idx="905">
                  <c:v>179200</c:v>
                </c:pt>
                <c:pt idx="906">
                  <c:v>179200</c:v>
                </c:pt>
                <c:pt idx="907">
                  <c:v>179300</c:v>
                </c:pt>
                <c:pt idx="908">
                  <c:v>179300</c:v>
                </c:pt>
                <c:pt idx="909">
                  <c:v>179400</c:v>
                </c:pt>
                <c:pt idx="910">
                  <c:v>179400</c:v>
                </c:pt>
                <c:pt idx="911">
                  <c:v>179400</c:v>
                </c:pt>
                <c:pt idx="912">
                  <c:v>179700</c:v>
                </c:pt>
                <c:pt idx="913">
                  <c:v>180000</c:v>
                </c:pt>
                <c:pt idx="914">
                  <c:v>180100</c:v>
                </c:pt>
                <c:pt idx="915">
                  <c:v>180400</c:v>
                </c:pt>
                <c:pt idx="916">
                  <c:v>180500</c:v>
                </c:pt>
                <c:pt idx="917">
                  <c:v>180600</c:v>
                </c:pt>
                <c:pt idx="918">
                  <c:v>180700</c:v>
                </c:pt>
                <c:pt idx="919">
                  <c:v>180700</c:v>
                </c:pt>
                <c:pt idx="920">
                  <c:v>180900</c:v>
                </c:pt>
                <c:pt idx="921">
                  <c:v>180900</c:v>
                </c:pt>
                <c:pt idx="922">
                  <c:v>181100</c:v>
                </c:pt>
                <c:pt idx="923">
                  <c:v>181100</c:v>
                </c:pt>
                <c:pt idx="924">
                  <c:v>181200</c:v>
                </c:pt>
                <c:pt idx="925">
                  <c:v>181300</c:v>
                </c:pt>
                <c:pt idx="926">
                  <c:v>181400</c:v>
                </c:pt>
                <c:pt idx="927">
                  <c:v>181400</c:v>
                </c:pt>
                <c:pt idx="928">
                  <c:v>181480</c:v>
                </c:pt>
                <c:pt idx="929">
                  <c:v>181600</c:v>
                </c:pt>
                <c:pt idx="930">
                  <c:v>181600</c:v>
                </c:pt>
                <c:pt idx="931">
                  <c:v>181600</c:v>
                </c:pt>
                <c:pt idx="932">
                  <c:v>181700</c:v>
                </c:pt>
                <c:pt idx="933">
                  <c:v>181700</c:v>
                </c:pt>
                <c:pt idx="934">
                  <c:v>181800</c:v>
                </c:pt>
                <c:pt idx="935">
                  <c:v>181900</c:v>
                </c:pt>
                <c:pt idx="936">
                  <c:v>181900</c:v>
                </c:pt>
                <c:pt idx="937">
                  <c:v>181900</c:v>
                </c:pt>
                <c:pt idx="938">
                  <c:v>181900</c:v>
                </c:pt>
                <c:pt idx="939">
                  <c:v>181900</c:v>
                </c:pt>
                <c:pt idx="940">
                  <c:v>181900</c:v>
                </c:pt>
                <c:pt idx="941">
                  <c:v>182200</c:v>
                </c:pt>
                <c:pt idx="942">
                  <c:v>182300</c:v>
                </c:pt>
                <c:pt idx="943">
                  <c:v>182600</c:v>
                </c:pt>
                <c:pt idx="944">
                  <c:v>182700</c:v>
                </c:pt>
                <c:pt idx="945">
                  <c:v>182700</c:v>
                </c:pt>
                <c:pt idx="946">
                  <c:v>182700</c:v>
                </c:pt>
                <c:pt idx="947">
                  <c:v>182800</c:v>
                </c:pt>
                <c:pt idx="948">
                  <c:v>182900</c:v>
                </c:pt>
                <c:pt idx="949">
                  <c:v>182900</c:v>
                </c:pt>
                <c:pt idx="950">
                  <c:v>182900</c:v>
                </c:pt>
                <c:pt idx="951">
                  <c:v>182900</c:v>
                </c:pt>
                <c:pt idx="952">
                  <c:v>183300</c:v>
                </c:pt>
                <c:pt idx="953">
                  <c:v>183600</c:v>
                </c:pt>
                <c:pt idx="954">
                  <c:v>183700</c:v>
                </c:pt>
                <c:pt idx="955">
                  <c:v>183700</c:v>
                </c:pt>
                <c:pt idx="956">
                  <c:v>183700</c:v>
                </c:pt>
                <c:pt idx="957">
                  <c:v>183800</c:v>
                </c:pt>
                <c:pt idx="958">
                  <c:v>184300</c:v>
                </c:pt>
                <c:pt idx="959">
                  <c:v>184300</c:v>
                </c:pt>
                <c:pt idx="960">
                  <c:v>184300</c:v>
                </c:pt>
                <c:pt idx="961">
                  <c:v>184400</c:v>
                </c:pt>
                <c:pt idx="962">
                  <c:v>184400</c:v>
                </c:pt>
                <c:pt idx="963">
                  <c:v>184500</c:v>
                </c:pt>
                <c:pt idx="964">
                  <c:v>184600</c:v>
                </c:pt>
                <c:pt idx="965">
                  <c:v>184600</c:v>
                </c:pt>
                <c:pt idx="966">
                  <c:v>184700</c:v>
                </c:pt>
                <c:pt idx="967">
                  <c:v>184700</c:v>
                </c:pt>
                <c:pt idx="968">
                  <c:v>184700</c:v>
                </c:pt>
                <c:pt idx="969">
                  <c:v>184800</c:v>
                </c:pt>
                <c:pt idx="970">
                  <c:v>184900</c:v>
                </c:pt>
                <c:pt idx="971">
                  <c:v>184900</c:v>
                </c:pt>
                <c:pt idx="972">
                  <c:v>185500</c:v>
                </c:pt>
                <c:pt idx="973">
                  <c:v>185500</c:v>
                </c:pt>
                <c:pt idx="974">
                  <c:v>185700</c:v>
                </c:pt>
                <c:pt idx="975">
                  <c:v>185700</c:v>
                </c:pt>
                <c:pt idx="976">
                  <c:v>185700</c:v>
                </c:pt>
                <c:pt idx="977">
                  <c:v>185800</c:v>
                </c:pt>
                <c:pt idx="978">
                  <c:v>185800</c:v>
                </c:pt>
                <c:pt idx="979">
                  <c:v>185900</c:v>
                </c:pt>
                <c:pt idx="980">
                  <c:v>185900</c:v>
                </c:pt>
                <c:pt idx="981">
                  <c:v>185900</c:v>
                </c:pt>
                <c:pt idx="982">
                  <c:v>186200</c:v>
                </c:pt>
                <c:pt idx="983">
                  <c:v>186200</c:v>
                </c:pt>
                <c:pt idx="984">
                  <c:v>186300</c:v>
                </c:pt>
                <c:pt idx="985">
                  <c:v>186300</c:v>
                </c:pt>
                <c:pt idx="986">
                  <c:v>186300</c:v>
                </c:pt>
                <c:pt idx="987">
                  <c:v>186400</c:v>
                </c:pt>
                <c:pt idx="988">
                  <c:v>186600</c:v>
                </c:pt>
                <c:pt idx="989">
                  <c:v>186600</c:v>
                </c:pt>
                <c:pt idx="990">
                  <c:v>186600</c:v>
                </c:pt>
                <c:pt idx="991">
                  <c:v>186600</c:v>
                </c:pt>
                <c:pt idx="992">
                  <c:v>186700</c:v>
                </c:pt>
                <c:pt idx="993">
                  <c:v>186800</c:v>
                </c:pt>
                <c:pt idx="994">
                  <c:v>186800</c:v>
                </c:pt>
                <c:pt idx="995">
                  <c:v>186800</c:v>
                </c:pt>
                <c:pt idx="996">
                  <c:v>186900</c:v>
                </c:pt>
                <c:pt idx="997">
                  <c:v>186900</c:v>
                </c:pt>
                <c:pt idx="998">
                  <c:v>187000</c:v>
                </c:pt>
                <c:pt idx="999">
                  <c:v>187100</c:v>
                </c:pt>
                <c:pt idx="1000">
                  <c:v>187100</c:v>
                </c:pt>
                <c:pt idx="1001">
                  <c:v>187200</c:v>
                </c:pt>
                <c:pt idx="1002">
                  <c:v>187200</c:v>
                </c:pt>
                <c:pt idx="1003">
                  <c:v>187200</c:v>
                </c:pt>
                <c:pt idx="1004">
                  <c:v>187400</c:v>
                </c:pt>
                <c:pt idx="1005">
                  <c:v>187400</c:v>
                </c:pt>
                <c:pt idx="1006">
                  <c:v>187500</c:v>
                </c:pt>
                <c:pt idx="1007">
                  <c:v>187500</c:v>
                </c:pt>
                <c:pt idx="1008">
                  <c:v>187500</c:v>
                </c:pt>
                <c:pt idx="1009">
                  <c:v>187600</c:v>
                </c:pt>
                <c:pt idx="1010">
                  <c:v>187600</c:v>
                </c:pt>
                <c:pt idx="1011">
                  <c:v>187700</c:v>
                </c:pt>
                <c:pt idx="1012">
                  <c:v>187900</c:v>
                </c:pt>
                <c:pt idx="1013">
                  <c:v>187900</c:v>
                </c:pt>
                <c:pt idx="1014">
                  <c:v>188000</c:v>
                </c:pt>
                <c:pt idx="1015">
                  <c:v>188100</c:v>
                </c:pt>
                <c:pt idx="1016">
                  <c:v>188200</c:v>
                </c:pt>
                <c:pt idx="1017">
                  <c:v>188200</c:v>
                </c:pt>
                <c:pt idx="1018">
                  <c:v>188400</c:v>
                </c:pt>
                <c:pt idx="1019">
                  <c:v>188400</c:v>
                </c:pt>
                <c:pt idx="1020">
                  <c:v>188400</c:v>
                </c:pt>
                <c:pt idx="1021">
                  <c:v>188400</c:v>
                </c:pt>
                <c:pt idx="1022">
                  <c:v>188500</c:v>
                </c:pt>
                <c:pt idx="1023">
                  <c:v>188600</c:v>
                </c:pt>
                <c:pt idx="1024">
                  <c:v>188600</c:v>
                </c:pt>
                <c:pt idx="1025">
                  <c:v>188700</c:v>
                </c:pt>
                <c:pt idx="1026">
                  <c:v>188900</c:v>
                </c:pt>
                <c:pt idx="1027">
                  <c:v>188900</c:v>
                </c:pt>
                <c:pt idx="1028">
                  <c:v>188900</c:v>
                </c:pt>
                <c:pt idx="1029">
                  <c:v>188900</c:v>
                </c:pt>
                <c:pt idx="1030">
                  <c:v>188900</c:v>
                </c:pt>
                <c:pt idx="1031">
                  <c:v>188900</c:v>
                </c:pt>
                <c:pt idx="1032">
                  <c:v>189000</c:v>
                </c:pt>
                <c:pt idx="1033">
                  <c:v>189100</c:v>
                </c:pt>
                <c:pt idx="1034">
                  <c:v>189100</c:v>
                </c:pt>
                <c:pt idx="1035">
                  <c:v>189200</c:v>
                </c:pt>
                <c:pt idx="1036">
                  <c:v>189300</c:v>
                </c:pt>
                <c:pt idx="1037">
                  <c:v>189300</c:v>
                </c:pt>
                <c:pt idx="1038">
                  <c:v>189400</c:v>
                </c:pt>
                <c:pt idx="1039">
                  <c:v>189400</c:v>
                </c:pt>
                <c:pt idx="1040">
                  <c:v>189500</c:v>
                </c:pt>
                <c:pt idx="1041">
                  <c:v>189500</c:v>
                </c:pt>
                <c:pt idx="1042">
                  <c:v>189500</c:v>
                </c:pt>
                <c:pt idx="1043">
                  <c:v>189700</c:v>
                </c:pt>
                <c:pt idx="1044">
                  <c:v>189700</c:v>
                </c:pt>
                <c:pt idx="1045">
                  <c:v>189800</c:v>
                </c:pt>
                <c:pt idx="1046">
                  <c:v>190200</c:v>
                </c:pt>
                <c:pt idx="1047">
                  <c:v>190300</c:v>
                </c:pt>
                <c:pt idx="1048">
                  <c:v>190400</c:v>
                </c:pt>
                <c:pt idx="1049">
                  <c:v>190400</c:v>
                </c:pt>
                <c:pt idx="1050">
                  <c:v>190500</c:v>
                </c:pt>
                <c:pt idx="1051">
                  <c:v>190600</c:v>
                </c:pt>
                <c:pt idx="1052">
                  <c:v>190600</c:v>
                </c:pt>
                <c:pt idx="1053">
                  <c:v>190700</c:v>
                </c:pt>
                <c:pt idx="1054">
                  <c:v>190700</c:v>
                </c:pt>
                <c:pt idx="1055">
                  <c:v>190700</c:v>
                </c:pt>
                <c:pt idx="1056">
                  <c:v>190800</c:v>
                </c:pt>
                <c:pt idx="1057">
                  <c:v>190900</c:v>
                </c:pt>
                <c:pt idx="1058">
                  <c:v>190900</c:v>
                </c:pt>
                <c:pt idx="1059">
                  <c:v>190900</c:v>
                </c:pt>
                <c:pt idx="1060">
                  <c:v>191100</c:v>
                </c:pt>
                <c:pt idx="1061">
                  <c:v>191100</c:v>
                </c:pt>
                <c:pt idx="1062">
                  <c:v>191200</c:v>
                </c:pt>
                <c:pt idx="1063">
                  <c:v>191200</c:v>
                </c:pt>
                <c:pt idx="1064">
                  <c:v>191200</c:v>
                </c:pt>
                <c:pt idx="1065">
                  <c:v>191200</c:v>
                </c:pt>
                <c:pt idx="1066">
                  <c:v>191400</c:v>
                </c:pt>
                <c:pt idx="1067">
                  <c:v>191400</c:v>
                </c:pt>
                <c:pt idx="1068">
                  <c:v>191400</c:v>
                </c:pt>
                <c:pt idx="1069">
                  <c:v>191400</c:v>
                </c:pt>
                <c:pt idx="1070">
                  <c:v>191500</c:v>
                </c:pt>
                <c:pt idx="1071">
                  <c:v>191500</c:v>
                </c:pt>
                <c:pt idx="1072">
                  <c:v>191500</c:v>
                </c:pt>
                <c:pt idx="1073">
                  <c:v>191600</c:v>
                </c:pt>
                <c:pt idx="1074">
                  <c:v>191600</c:v>
                </c:pt>
                <c:pt idx="1075">
                  <c:v>191700</c:v>
                </c:pt>
                <c:pt idx="1076">
                  <c:v>191900</c:v>
                </c:pt>
                <c:pt idx="1077">
                  <c:v>191900</c:v>
                </c:pt>
                <c:pt idx="1078">
                  <c:v>192000</c:v>
                </c:pt>
                <c:pt idx="1079">
                  <c:v>192000</c:v>
                </c:pt>
                <c:pt idx="1080">
                  <c:v>192100</c:v>
                </c:pt>
                <c:pt idx="1081">
                  <c:v>192100</c:v>
                </c:pt>
                <c:pt idx="1082">
                  <c:v>192200</c:v>
                </c:pt>
                <c:pt idx="1083">
                  <c:v>192300</c:v>
                </c:pt>
                <c:pt idx="1084">
                  <c:v>192500</c:v>
                </c:pt>
                <c:pt idx="1085">
                  <c:v>192600</c:v>
                </c:pt>
                <c:pt idx="1086">
                  <c:v>192600</c:v>
                </c:pt>
                <c:pt idx="1087">
                  <c:v>192700</c:v>
                </c:pt>
                <c:pt idx="1088">
                  <c:v>192800</c:v>
                </c:pt>
                <c:pt idx="1089">
                  <c:v>192800</c:v>
                </c:pt>
                <c:pt idx="1090">
                  <c:v>192800</c:v>
                </c:pt>
                <c:pt idx="1091">
                  <c:v>192800</c:v>
                </c:pt>
                <c:pt idx="1092">
                  <c:v>193000</c:v>
                </c:pt>
                <c:pt idx="1093">
                  <c:v>193100</c:v>
                </c:pt>
                <c:pt idx="1094">
                  <c:v>193300</c:v>
                </c:pt>
                <c:pt idx="1095">
                  <c:v>193300</c:v>
                </c:pt>
                <c:pt idx="1096">
                  <c:v>193400</c:v>
                </c:pt>
                <c:pt idx="1097">
                  <c:v>193700</c:v>
                </c:pt>
                <c:pt idx="1098">
                  <c:v>193800</c:v>
                </c:pt>
                <c:pt idx="1099">
                  <c:v>193900</c:v>
                </c:pt>
                <c:pt idx="1100">
                  <c:v>193900</c:v>
                </c:pt>
                <c:pt idx="1101">
                  <c:v>193900</c:v>
                </c:pt>
                <c:pt idx="1102">
                  <c:v>194000</c:v>
                </c:pt>
                <c:pt idx="1103">
                  <c:v>194300</c:v>
                </c:pt>
                <c:pt idx="1104">
                  <c:v>194400</c:v>
                </c:pt>
                <c:pt idx="1105">
                  <c:v>194500</c:v>
                </c:pt>
                <c:pt idx="1106">
                  <c:v>194600</c:v>
                </c:pt>
                <c:pt idx="1107">
                  <c:v>194600</c:v>
                </c:pt>
                <c:pt idx="1108">
                  <c:v>194600</c:v>
                </c:pt>
                <c:pt idx="1109">
                  <c:v>194700</c:v>
                </c:pt>
                <c:pt idx="1110">
                  <c:v>194700</c:v>
                </c:pt>
                <c:pt idx="1111">
                  <c:v>194700</c:v>
                </c:pt>
                <c:pt idx="1112">
                  <c:v>194700</c:v>
                </c:pt>
                <c:pt idx="1113">
                  <c:v>194800</c:v>
                </c:pt>
                <c:pt idx="1114">
                  <c:v>195000</c:v>
                </c:pt>
                <c:pt idx="1115">
                  <c:v>195000</c:v>
                </c:pt>
                <c:pt idx="1116">
                  <c:v>195200</c:v>
                </c:pt>
                <c:pt idx="1117">
                  <c:v>195200</c:v>
                </c:pt>
                <c:pt idx="1118">
                  <c:v>195300</c:v>
                </c:pt>
                <c:pt idx="1119">
                  <c:v>195400</c:v>
                </c:pt>
                <c:pt idx="1120">
                  <c:v>195500</c:v>
                </c:pt>
                <c:pt idx="1121">
                  <c:v>195500</c:v>
                </c:pt>
                <c:pt idx="1122">
                  <c:v>195500</c:v>
                </c:pt>
                <c:pt idx="1123">
                  <c:v>195600</c:v>
                </c:pt>
                <c:pt idx="1124">
                  <c:v>195700</c:v>
                </c:pt>
                <c:pt idx="1125">
                  <c:v>195700</c:v>
                </c:pt>
                <c:pt idx="1126">
                  <c:v>195700</c:v>
                </c:pt>
                <c:pt idx="1127">
                  <c:v>195700</c:v>
                </c:pt>
                <c:pt idx="1128">
                  <c:v>195800</c:v>
                </c:pt>
                <c:pt idx="1129">
                  <c:v>195900</c:v>
                </c:pt>
                <c:pt idx="1130">
                  <c:v>196000</c:v>
                </c:pt>
                <c:pt idx="1131">
                  <c:v>196000</c:v>
                </c:pt>
                <c:pt idx="1132">
                  <c:v>196100</c:v>
                </c:pt>
                <c:pt idx="1133">
                  <c:v>196200</c:v>
                </c:pt>
                <c:pt idx="1134">
                  <c:v>196200</c:v>
                </c:pt>
                <c:pt idx="1135">
                  <c:v>196200</c:v>
                </c:pt>
                <c:pt idx="1136">
                  <c:v>196300</c:v>
                </c:pt>
                <c:pt idx="1137">
                  <c:v>196300</c:v>
                </c:pt>
                <c:pt idx="1138">
                  <c:v>196500</c:v>
                </c:pt>
                <c:pt idx="1139">
                  <c:v>196500</c:v>
                </c:pt>
                <c:pt idx="1140">
                  <c:v>196600</c:v>
                </c:pt>
                <c:pt idx="1141">
                  <c:v>196600</c:v>
                </c:pt>
                <c:pt idx="1142">
                  <c:v>196600</c:v>
                </c:pt>
                <c:pt idx="1143">
                  <c:v>196700</c:v>
                </c:pt>
                <c:pt idx="1144">
                  <c:v>196700</c:v>
                </c:pt>
                <c:pt idx="1145">
                  <c:v>196800</c:v>
                </c:pt>
                <c:pt idx="1146">
                  <c:v>196800</c:v>
                </c:pt>
                <c:pt idx="1147">
                  <c:v>197000</c:v>
                </c:pt>
                <c:pt idx="1148">
                  <c:v>197000</c:v>
                </c:pt>
                <c:pt idx="1149">
                  <c:v>197100</c:v>
                </c:pt>
                <c:pt idx="1150">
                  <c:v>197200</c:v>
                </c:pt>
                <c:pt idx="1151">
                  <c:v>197200</c:v>
                </c:pt>
                <c:pt idx="1152">
                  <c:v>197300</c:v>
                </c:pt>
                <c:pt idx="1153">
                  <c:v>197300</c:v>
                </c:pt>
                <c:pt idx="1154">
                  <c:v>197500</c:v>
                </c:pt>
                <c:pt idx="1155">
                  <c:v>197600</c:v>
                </c:pt>
                <c:pt idx="1156">
                  <c:v>197600</c:v>
                </c:pt>
                <c:pt idx="1157">
                  <c:v>197600</c:v>
                </c:pt>
                <c:pt idx="1158">
                  <c:v>197700</c:v>
                </c:pt>
                <c:pt idx="1159">
                  <c:v>197700</c:v>
                </c:pt>
                <c:pt idx="1160">
                  <c:v>197700</c:v>
                </c:pt>
                <c:pt idx="1161">
                  <c:v>197900</c:v>
                </c:pt>
                <c:pt idx="1162">
                  <c:v>198000</c:v>
                </c:pt>
                <c:pt idx="1163">
                  <c:v>198000</c:v>
                </c:pt>
                <c:pt idx="1164">
                  <c:v>198000</c:v>
                </c:pt>
                <c:pt idx="1165">
                  <c:v>198200</c:v>
                </c:pt>
                <c:pt idx="1166">
                  <c:v>198200</c:v>
                </c:pt>
                <c:pt idx="1167">
                  <c:v>198300</c:v>
                </c:pt>
                <c:pt idx="1168">
                  <c:v>198300</c:v>
                </c:pt>
                <c:pt idx="1169">
                  <c:v>198400</c:v>
                </c:pt>
                <c:pt idx="1170">
                  <c:v>198500</c:v>
                </c:pt>
                <c:pt idx="1171">
                  <c:v>198600</c:v>
                </c:pt>
                <c:pt idx="1172">
                  <c:v>198600</c:v>
                </c:pt>
                <c:pt idx="1173">
                  <c:v>198700</c:v>
                </c:pt>
                <c:pt idx="1174">
                  <c:v>198700</c:v>
                </c:pt>
                <c:pt idx="1175">
                  <c:v>198900</c:v>
                </c:pt>
                <c:pt idx="1176">
                  <c:v>198900</c:v>
                </c:pt>
                <c:pt idx="1177">
                  <c:v>199000</c:v>
                </c:pt>
                <c:pt idx="1178">
                  <c:v>199100</c:v>
                </c:pt>
                <c:pt idx="1179">
                  <c:v>199200</c:v>
                </c:pt>
                <c:pt idx="1180">
                  <c:v>199200</c:v>
                </c:pt>
                <c:pt idx="1181">
                  <c:v>199200</c:v>
                </c:pt>
                <c:pt idx="1182">
                  <c:v>199200</c:v>
                </c:pt>
                <c:pt idx="1183">
                  <c:v>199200</c:v>
                </c:pt>
                <c:pt idx="1184">
                  <c:v>199300</c:v>
                </c:pt>
                <c:pt idx="1185">
                  <c:v>199300</c:v>
                </c:pt>
                <c:pt idx="1186">
                  <c:v>199400</c:v>
                </c:pt>
                <c:pt idx="1187">
                  <c:v>199500</c:v>
                </c:pt>
                <c:pt idx="1188">
                  <c:v>199500</c:v>
                </c:pt>
                <c:pt idx="1189">
                  <c:v>199600</c:v>
                </c:pt>
                <c:pt idx="1190">
                  <c:v>199900</c:v>
                </c:pt>
                <c:pt idx="1191">
                  <c:v>200000</c:v>
                </c:pt>
                <c:pt idx="1192">
                  <c:v>200000</c:v>
                </c:pt>
                <c:pt idx="1193">
                  <c:v>200100</c:v>
                </c:pt>
                <c:pt idx="1194">
                  <c:v>200100</c:v>
                </c:pt>
                <c:pt idx="1195">
                  <c:v>200100</c:v>
                </c:pt>
                <c:pt idx="1196">
                  <c:v>200200</c:v>
                </c:pt>
                <c:pt idx="1197">
                  <c:v>200200</c:v>
                </c:pt>
                <c:pt idx="1198">
                  <c:v>200300</c:v>
                </c:pt>
                <c:pt idx="1199">
                  <c:v>200300</c:v>
                </c:pt>
                <c:pt idx="1200">
                  <c:v>200300</c:v>
                </c:pt>
                <c:pt idx="1201">
                  <c:v>200300</c:v>
                </c:pt>
                <c:pt idx="1202">
                  <c:v>200400</c:v>
                </c:pt>
                <c:pt idx="1203">
                  <c:v>200600</c:v>
                </c:pt>
                <c:pt idx="1204">
                  <c:v>200600</c:v>
                </c:pt>
                <c:pt idx="1205">
                  <c:v>200700</c:v>
                </c:pt>
                <c:pt idx="1206">
                  <c:v>200800</c:v>
                </c:pt>
                <c:pt idx="1207">
                  <c:v>201000</c:v>
                </c:pt>
                <c:pt idx="1208">
                  <c:v>201000</c:v>
                </c:pt>
                <c:pt idx="1209">
                  <c:v>201000</c:v>
                </c:pt>
                <c:pt idx="1210">
                  <c:v>201000</c:v>
                </c:pt>
                <c:pt idx="1211">
                  <c:v>201300</c:v>
                </c:pt>
                <c:pt idx="1212">
                  <c:v>201300</c:v>
                </c:pt>
                <c:pt idx="1213">
                  <c:v>201400</c:v>
                </c:pt>
                <c:pt idx="1214">
                  <c:v>201400</c:v>
                </c:pt>
                <c:pt idx="1215">
                  <c:v>201400</c:v>
                </c:pt>
                <c:pt idx="1216">
                  <c:v>201500</c:v>
                </c:pt>
                <c:pt idx="1217">
                  <c:v>201500</c:v>
                </c:pt>
                <c:pt idx="1218">
                  <c:v>201500</c:v>
                </c:pt>
                <c:pt idx="1219">
                  <c:v>201600</c:v>
                </c:pt>
                <c:pt idx="1220">
                  <c:v>201700</c:v>
                </c:pt>
                <c:pt idx="1221">
                  <c:v>201700</c:v>
                </c:pt>
                <c:pt idx="1222">
                  <c:v>201800</c:v>
                </c:pt>
                <c:pt idx="1223">
                  <c:v>201800</c:v>
                </c:pt>
                <c:pt idx="1224">
                  <c:v>201800</c:v>
                </c:pt>
                <c:pt idx="1225">
                  <c:v>201800</c:v>
                </c:pt>
                <c:pt idx="1226">
                  <c:v>201800</c:v>
                </c:pt>
                <c:pt idx="1227">
                  <c:v>201900</c:v>
                </c:pt>
                <c:pt idx="1228">
                  <c:v>202000</c:v>
                </c:pt>
                <c:pt idx="1229">
                  <c:v>202000</c:v>
                </c:pt>
                <c:pt idx="1230">
                  <c:v>202300</c:v>
                </c:pt>
                <c:pt idx="1231">
                  <c:v>202300</c:v>
                </c:pt>
                <c:pt idx="1232">
                  <c:v>202500</c:v>
                </c:pt>
                <c:pt idx="1233">
                  <c:v>202600</c:v>
                </c:pt>
                <c:pt idx="1234">
                  <c:v>202600</c:v>
                </c:pt>
                <c:pt idx="1235">
                  <c:v>202600</c:v>
                </c:pt>
                <c:pt idx="1236">
                  <c:v>202700</c:v>
                </c:pt>
                <c:pt idx="1237">
                  <c:v>202800</c:v>
                </c:pt>
                <c:pt idx="1238">
                  <c:v>202800</c:v>
                </c:pt>
                <c:pt idx="1239">
                  <c:v>203000</c:v>
                </c:pt>
                <c:pt idx="1240">
                  <c:v>203200</c:v>
                </c:pt>
                <c:pt idx="1241">
                  <c:v>203300</c:v>
                </c:pt>
                <c:pt idx="1242">
                  <c:v>203300</c:v>
                </c:pt>
                <c:pt idx="1243">
                  <c:v>203400</c:v>
                </c:pt>
                <c:pt idx="1244">
                  <c:v>203800</c:v>
                </c:pt>
                <c:pt idx="1245">
                  <c:v>203800</c:v>
                </c:pt>
                <c:pt idx="1246">
                  <c:v>203900</c:v>
                </c:pt>
                <c:pt idx="1247">
                  <c:v>204000</c:v>
                </c:pt>
                <c:pt idx="1248">
                  <c:v>204000</c:v>
                </c:pt>
                <c:pt idx="1249">
                  <c:v>204000</c:v>
                </c:pt>
                <c:pt idx="1250">
                  <c:v>204000</c:v>
                </c:pt>
                <c:pt idx="1251">
                  <c:v>204300</c:v>
                </c:pt>
                <c:pt idx="1252">
                  <c:v>204300</c:v>
                </c:pt>
                <c:pt idx="1253">
                  <c:v>204400</c:v>
                </c:pt>
                <c:pt idx="1254">
                  <c:v>204400</c:v>
                </c:pt>
                <c:pt idx="1255">
                  <c:v>204500</c:v>
                </c:pt>
                <c:pt idx="1256">
                  <c:v>204600</c:v>
                </c:pt>
                <c:pt idx="1257">
                  <c:v>204600</c:v>
                </c:pt>
                <c:pt idx="1258">
                  <c:v>204800</c:v>
                </c:pt>
                <c:pt idx="1259">
                  <c:v>204800</c:v>
                </c:pt>
                <c:pt idx="1260">
                  <c:v>204900</c:v>
                </c:pt>
                <c:pt idx="1261">
                  <c:v>205000</c:v>
                </c:pt>
                <c:pt idx="1262">
                  <c:v>205000</c:v>
                </c:pt>
                <c:pt idx="1263">
                  <c:v>205100</c:v>
                </c:pt>
                <c:pt idx="1264">
                  <c:v>205100</c:v>
                </c:pt>
                <c:pt idx="1265">
                  <c:v>205100</c:v>
                </c:pt>
                <c:pt idx="1266">
                  <c:v>205100</c:v>
                </c:pt>
                <c:pt idx="1267">
                  <c:v>205100</c:v>
                </c:pt>
                <c:pt idx="1268">
                  <c:v>205100</c:v>
                </c:pt>
                <c:pt idx="1269">
                  <c:v>205100</c:v>
                </c:pt>
                <c:pt idx="1270">
                  <c:v>205200</c:v>
                </c:pt>
                <c:pt idx="1271">
                  <c:v>205200</c:v>
                </c:pt>
                <c:pt idx="1272">
                  <c:v>205200</c:v>
                </c:pt>
                <c:pt idx="1273">
                  <c:v>205400</c:v>
                </c:pt>
                <c:pt idx="1274">
                  <c:v>205400</c:v>
                </c:pt>
                <c:pt idx="1275">
                  <c:v>205400</c:v>
                </c:pt>
                <c:pt idx="1276">
                  <c:v>205500</c:v>
                </c:pt>
                <c:pt idx="1277">
                  <c:v>205500</c:v>
                </c:pt>
                <c:pt idx="1278">
                  <c:v>205600</c:v>
                </c:pt>
                <c:pt idx="1279">
                  <c:v>205600</c:v>
                </c:pt>
                <c:pt idx="1280">
                  <c:v>205700</c:v>
                </c:pt>
                <c:pt idx="1281">
                  <c:v>205848</c:v>
                </c:pt>
                <c:pt idx="1282">
                  <c:v>205900</c:v>
                </c:pt>
                <c:pt idx="1283">
                  <c:v>205900</c:v>
                </c:pt>
                <c:pt idx="1284">
                  <c:v>206100</c:v>
                </c:pt>
                <c:pt idx="1285">
                  <c:v>206200</c:v>
                </c:pt>
                <c:pt idx="1286">
                  <c:v>206200</c:v>
                </c:pt>
                <c:pt idx="1287">
                  <c:v>206300</c:v>
                </c:pt>
                <c:pt idx="1288">
                  <c:v>206300</c:v>
                </c:pt>
                <c:pt idx="1289">
                  <c:v>206600</c:v>
                </c:pt>
                <c:pt idx="1290">
                  <c:v>206600</c:v>
                </c:pt>
                <c:pt idx="1291">
                  <c:v>206700</c:v>
                </c:pt>
                <c:pt idx="1292">
                  <c:v>206700</c:v>
                </c:pt>
                <c:pt idx="1293">
                  <c:v>206800</c:v>
                </c:pt>
                <c:pt idx="1294">
                  <c:v>206800</c:v>
                </c:pt>
                <c:pt idx="1295">
                  <c:v>206900</c:v>
                </c:pt>
                <c:pt idx="1296">
                  <c:v>206900</c:v>
                </c:pt>
                <c:pt idx="1297">
                  <c:v>207000</c:v>
                </c:pt>
                <c:pt idx="1298">
                  <c:v>207200</c:v>
                </c:pt>
                <c:pt idx="1299">
                  <c:v>207200</c:v>
                </c:pt>
                <c:pt idx="1300">
                  <c:v>207200</c:v>
                </c:pt>
                <c:pt idx="1301">
                  <c:v>207200</c:v>
                </c:pt>
                <c:pt idx="1302">
                  <c:v>207300</c:v>
                </c:pt>
                <c:pt idx="1303">
                  <c:v>207400</c:v>
                </c:pt>
                <c:pt idx="1304">
                  <c:v>207400</c:v>
                </c:pt>
                <c:pt idx="1305">
                  <c:v>207500</c:v>
                </c:pt>
                <c:pt idx="1306">
                  <c:v>207600</c:v>
                </c:pt>
                <c:pt idx="1307">
                  <c:v>207600</c:v>
                </c:pt>
                <c:pt idx="1308">
                  <c:v>207600</c:v>
                </c:pt>
                <c:pt idx="1309">
                  <c:v>207600</c:v>
                </c:pt>
                <c:pt idx="1310">
                  <c:v>207800</c:v>
                </c:pt>
                <c:pt idx="1311">
                  <c:v>207800</c:v>
                </c:pt>
                <c:pt idx="1312">
                  <c:v>207800</c:v>
                </c:pt>
                <c:pt idx="1313">
                  <c:v>207800</c:v>
                </c:pt>
                <c:pt idx="1314">
                  <c:v>207900</c:v>
                </c:pt>
                <c:pt idx="1315">
                  <c:v>207900</c:v>
                </c:pt>
                <c:pt idx="1316">
                  <c:v>208000</c:v>
                </c:pt>
                <c:pt idx="1317">
                  <c:v>208100</c:v>
                </c:pt>
                <c:pt idx="1318">
                  <c:v>208100</c:v>
                </c:pt>
                <c:pt idx="1319">
                  <c:v>208100</c:v>
                </c:pt>
                <c:pt idx="1320">
                  <c:v>208200</c:v>
                </c:pt>
                <c:pt idx="1321">
                  <c:v>208200</c:v>
                </c:pt>
                <c:pt idx="1322">
                  <c:v>208200</c:v>
                </c:pt>
                <c:pt idx="1323">
                  <c:v>208200</c:v>
                </c:pt>
                <c:pt idx="1324">
                  <c:v>208300</c:v>
                </c:pt>
                <c:pt idx="1325">
                  <c:v>208348</c:v>
                </c:pt>
                <c:pt idx="1326">
                  <c:v>208400</c:v>
                </c:pt>
                <c:pt idx="1327">
                  <c:v>208500</c:v>
                </c:pt>
                <c:pt idx="1328">
                  <c:v>208500</c:v>
                </c:pt>
                <c:pt idx="1329">
                  <c:v>208600</c:v>
                </c:pt>
                <c:pt idx="1330">
                  <c:v>208600</c:v>
                </c:pt>
                <c:pt idx="1331">
                  <c:v>208600</c:v>
                </c:pt>
                <c:pt idx="1332">
                  <c:v>208700</c:v>
                </c:pt>
                <c:pt idx="1333">
                  <c:v>208700</c:v>
                </c:pt>
                <c:pt idx="1334">
                  <c:v>208700</c:v>
                </c:pt>
                <c:pt idx="1335">
                  <c:v>208800</c:v>
                </c:pt>
                <c:pt idx="1336">
                  <c:v>208800</c:v>
                </c:pt>
                <c:pt idx="1337">
                  <c:v>208900</c:v>
                </c:pt>
                <c:pt idx="1338">
                  <c:v>208900</c:v>
                </c:pt>
                <c:pt idx="1339">
                  <c:v>209000</c:v>
                </c:pt>
                <c:pt idx="1340">
                  <c:v>209000</c:v>
                </c:pt>
                <c:pt idx="1341">
                  <c:v>209300</c:v>
                </c:pt>
                <c:pt idx="1342">
                  <c:v>209400</c:v>
                </c:pt>
                <c:pt idx="1343">
                  <c:v>209400</c:v>
                </c:pt>
                <c:pt idx="1344">
                  <c:v>209400</c:v>
                </c:pt>
                <c:pt idx="1345">
                  <c:v>209400</c:v>
                </c:pt>
                <c:pt idx="1346">
                  <c:v>209500</c:v>
                </c:pt>
                <c:pt idx="1347">
                  <c:v>209500</c:v>
                </c:pt>
                <c:pt idx="1348">
                  <c:v>209600</c:v>
                </c:pt>
                <c:pt idx="1349">
                  <c:v>209600</c:v>
                </c:pt>
                <c:pt idx="1350">
                  <c:v>209665</c:v>
                </c:pt>
                <c:pt idx="1351">
                  <c:v>209900</c:v>
                </c:pt>
                <c:pt idx="1352">
                  <c:v>209900</c:v>
                </c:pt>
                <c:pt idx="1353">
                  <c:v>209900</c:v>
                </c:pt>
                <c:pt idx="1354">
                  <c:v>210000</c:v>
                </c:pt>
                <c:pt idx="1355">
                  <c:v>210100</c:v>
                </c:pt>
                <c:pt idx="1356">
                  <c:v>210100</c:v>
                </c:pt>
                <c:pt idx="1357">
                  <c:v>210100</c:v>
                </c:pt>
                <c:pt idx="1358">
                  <c:v>210100</c:v>
                </c:pt>
                <c:pt idx="1359">
                  <c:v>210200</c:v>
                </c:pt>
                <c:pt idx="1360">
                  <c:v>210300</c:v>
                </c:pt>
                <c:pt idx="1361">
                  <c:v>210300</c:v>
                </c:pt>
                <c:pt idx="1362">
                  <c:v>210300</c:v>
                </c:pt>
                <c:pt idx="1363">
                  <c:v>210400</c:v>
                </c:pt>
                <c:pt idx="1364">
                  <c:v>210600</c:v>
                </c:pt>
                <c:pt idx="1365">
                  <c:v>210600</c:v>
                </c:pt>
                <c:pt idx="1366">
                  <c:v>210600</c:v>
                </c:pt>
                <c:pt idx="1367">
                  <c:v>210800</c:v>
                </c:pt>
                <c:pt idx="1368">
                  <c:v>210800</c:v>
                </c:pt>
                <c:pt idx="1369">
                  <c:v>210900</c:v>
                </c:pt>
                <c:pt idx="1370">
                  <c:v>210900</c:v>
                </c:pt>
                <c:pt idx="1371">
                  <c:v>210900</c:v>
                </c:pt>
                <c:pt idx="1372">
                  <c:v>211000</c:v>
                </c:pt>
                <c:pt idx="1373">
                  <c:v>211000</c:v>
                </c:pt>
                <c:pt idx="1374">
                  <c:v>211000</c:v>
                </c:pt>
                <c:pt idx="1375">
                  <c:v>211000</c:v>
                </c:pt>
                <c:pt idx="1376">
                  <c:v>211300</c:v>
                </c:pt>
                <c:pt idx="1377">
                  <c:v>211300</c:v>
                </c:pt>
                <c:pt idx="1378">
                  <c:v>211400</c:v>
                </c:pt>
                <c:pt idx="1379">
                  <c:v>211500</c:v>
                </c:pt>
                <c:pt idx="1380">
                  <c:v>211600</c:v>
                </c:pt>
                <c:pt idx="1381">
                  <c:v>211700</c:v>
                </c:pt>
                <c:pt idx="1382">
                  <c:v>211800</c:v>
                </c:pt>
                <c:pt idx="1383">
                  <c:v>211800</c:v>
                </c:pt>
                <c:pt idx="1384">
                  <c:v>211800</c:v>
                </c:pt>
                <c:pt idx="1385">
                  <c:v>211800</c:v>
                </c:pt>
                <c:pt idx="1386">
                  <c:v>211900</c:v>
                </c:pt>
                <c:pt idx="1387">
                  <c:v>212000</c:v>
                </c:pt>
                <c:pt idx="1388">
                  <c:v>212000</c:v>
                </c:pt>
                <c:pt idx="1389">
                  <c:v>212000</c:v>
                </c:pt>
                <c:pt idx="1390">
                  <c:v>212000</c:v>
                </c:pt>
                <c:pt idx="1391">
                  <c:v>212000</c:v>
                </c:pt>
                <c:pt idx="1392">
                  <c:v>212300</c:v>
                </c:pt>
                <c:pt idx="1393">
                  <c:v>212400</c:v>
                </c:pt>
                <c:pt idx="1394">
                  <c:v>212500</c:v>
                </c:pt>
                <c:pt idx="1395">
                  <c:v>212800</c:v>
                </c:pt>
                <c:pt idx="1396">
                  <c:v>212800</c:v>
                </c:pt>
                <c:pt idx="1397">
                  <c:v>212800</c:v>
                </c:pt>
                <c:pt idx="1398">
                  <c:v>212900</c:v>
                </c:pt>
                <c:pt idx="1399">
                  <c:v>212900</c:v>
                </c:pt>
                <c:pt idx="1400">
                  <c:v>213000</c:v>
                </c:pt>
                <c:pt idx="1401">
                  <c:v>213000</c:v>
                </c:pt>
                <c:pt idx="1402">
                  <c:v>213000</c:v>
                </c:pt>
                <c:pt idx="1403">
                  <c:v>213000</c:v>
                </c:pt>
                <c:pt idx="1404">
                  <c:v>213000</c:v>
                </c:pt>
                <c:pt idx="1405">
                  <c:v>213100</c:v>
                </c:pt>
                <c:pt idx="1406">
                  <c:v>213200</c:v>
                </c:pt>
                <c:pt idx="1407">
                  <c:v>213257</c:v>
                </c:pt>
                <c:pt idx="1408">
                  <c:v>213300</c:v>
                </c:pt>
                <c:pt idx="1409">
                  <c:v>213400</c:v>
                </c:pt>
                <c:pt idx="1410">
                  <c:v>213400</c:v>
                </c:pt>
                <c:pt idx="1411">
                  <c:v>213400</c:v>
                </c:pt>
                <c:pt idx="1412">
                  <c:v>213500</c:v>
                </c:pt>
                <c:pt idx="1413">
                  <c:v>213500</c:v>
                </c:pt>
                <c:pt idx="1414">
                  <c:v>213500</c:v>
                </c:pt>
                <c:pt idx="1415">
                  <c:v>213500</c:v>
                </c:pt>
                <c:pt idx="1416">
                  <c:v>213600</c:v>
                </c:pt>
                <c:pt idx="1417">
                  <c:v>213700</c:v>
                </c:pt>
                <c:pt idx="1418">
                  <c:v>213800</c:v>
                </c:pt>
                <c:pt idx="1419">
                  <c:v>213800</c:v>
                </c:pt>
                <c:pt idx="1420">
                  <c:v>213900</c:v>
                </c:pt>
                <c:pt idx="1421">
                  <c:v>213900</c:v>
                </c:pt>
                <c:pt idx="1422">
                  <c:v>213900</c:v>
                </c:pt>
                <c:pt idx="1423">
                  <c:v>214000</c:v>
                </c:pt>
                <c:pt idx="1424">
                  <c:v>214000</c:v>
                </c:pt>
                <c:pt idx="1425">
                  <c:v>214000</c:v>
                </c:pt>
                <c:pt idx="1426">
                  <c:v>214100</c:v>
                </c:pt>
                <c:pt idx="1427">
                  <c:v>214200</c:v>
                </c:pt>
                <c:pt idx="1428">
                  <c:v>214200</c:v>
                </c:pt>
                <c:pt idx="1429">
                  <c:v>214300</c:v>
                </c:pt>
                <c:pt idx="1430">
                  <c:v>214300</c:v>
                </c:pt>
                <c:pt idx="1431">
                  <c:v>214400</c:v>
                </c:pt>
                <c:pt idx="1432">
                  <c:v>214400</c:v>
                </c:pt>
                <c:pt idx="1433">
                  <c:v>214565</c:v>
                </c:pt>
                <c:pt idx="1434">
                  <c:v>214600</c:v>
                </c:pt>
                <c:pt idx="1435">
                  <c:v>214800</c:v>
                </c:pt>
                <c:pt idx="1436">
                  <c:v>214900</c:v>
                </c:pt>
                <c:pt idx="1437">
                  <c:v>215000</c:v>
                </c:pt>
                <c:pt idx="1438">
                  <c:v>215100</c:v>
                </c:pt>
                <c:pt idx="1439">
                  <c:v>215100</c:v>
                </c:pt>
                <c:pt idx="1440">
                  <c:v>215100</c:v>
                </c:pt>
                <c:pt idx="1441">
                  <c:v>215100</c:v>
                </c:pt>
                <c:pt idx="1442">
                  <c:v>215200</c:v>
                </c:pt>
                <c:pt idx="1443">
                  <c:v>215200</c:v>
                </c:pt>
                <c:pt idx="1444">
                  <c:v>215300</c:v>
                </c:pt>
                <c:pt idx="1445">
                  <c:v>215400</c:v>
                </c:pt>
                <c:pt idx="1446">
                  <c:v>215400</c:v>
                </c:pt>
                <c:pt idx="1447">
                  <c:v>215400</c:v>
                </c:pt>
                <c:pt idx="1448">
                  <c:v>215400</c:v>
                </c:pt>
                <c:pt idx="1449">
                  <c:v>215500</c:v>
                </c:pt>
                <c:pt idx="1450">
                  <c:v>215600</c:v>
                </c:pt>
                <c:pt idx="1451">
                  <c:v>215700</c:v>
                </c:pt>
                <c:pt idx="1452">
                  <c:v>215800</c:v>
                </c:pt>
                <c:pt idx="1453">
                  <c:v>215800</c:v>
                </c:pt>
                <c:pt idx="1454">
                  <c:v>216000</c:v>
                </c:pt>
                <c:pt idx="1455">
                  <c:v>216000</c:v>
                </c:pt>
                <c:pt idx="1456">
                  <c:v>216000</c:v>
                </c:pt>
                <c:pt idx="1457">
                  <c:v>216200</c:v>
                </c:pt>
                <c:pt idx="1458">
                  <c:v>216200</c:v>
                </c:pt>
                <c:pt idx="1459">
                  <c:v>216300</c:v>
                </c:pt>
                <c:pt idx="1460">
                  <c:v>216300</c:v>
                </c:pt>
                <c:pt idx="1461">
                  <c:v>216300</c:v>
                </c:pt>
                <c:pt idx="1462">
                  <c:v>216400</c:v>
                </c:pt>
                <c:pt idx="1463">
                  <c:v>216400</c:v>
                </c:pt>
                <c:pt idx="1464">
                  <c:v>216500</c:v>
                </c:pt>
                <c:pt idx="1465">
                  <c:v>216500</c:v>
                </c:pt>
                <c:pt idx="1466">
                  <c:v>216500</c:v>
                </c:pt>
                <c:pt idx="1467">
                  <c:v>216700</c:v>
                </c:pt>
                <c:pt idx="1468">
                  <c:v>216800</c:v>
                </c:pt>
                <c:pt idx="1469">
                  <c:v>216800</c:v>
                </c:pt>
                <c:pt idx="1470">
                  <c:v>216800</c:v>
                </c:pt>
                <c:pt idx="1471">
                  <c:v>216900</c:v>
                </c:pt>
                <c:pt idx="1472">
                  <c:v>217000</c:v>
                </c:pt>
                <c:pt idx="1473">
                  <c:v>217000</c:v>
                </c:pt>
                <c:pt idx="1474">
                  <c:v>217085</c:v>
                </c:pt>
                <c:pt idx="1475">
                  <c:v>217100</c:v>
                </c:pt>
                <c:pt idx="1476">
                  <c:v>217300</c:v>
                </c:pt>
                <c:pt idx="1477">
                  <c:v>217300</c:v>
                </c:pt>
                <c:pt idx="1478">
                  <c:v>217400</c:v>
                </c:pt>
                <c:pt idx="1479">
                  <c:v>217500</c:v>
                </c:pt>
                <c:pt idx="1480">
                  <c:v>217600</c:v>
                </c:pt>
                <c:pt idx="1481">
                  <c:v>217700</c:v>
                </c:pt>
                <c:pt idx="1482">
                  <c:v>217800</c:v>
                </c:pt>
                <c:pt idx="1483">
                  <c:v>217900</c:v>
                </c:pt>
                <c:pt idx="1484">
                  <c:v>218000</c:v>
                </c:pt>
                <c:pt idx="1485">
                  <c:v>218000</c:v>
                </c:pt>
                <c:pt idx="1486">
                  <c:v>218400</c:v>
                </c:pt>
                <c:pt idx="1487">
                  <c:v>218400</c:v>
                </c:pt>
                <c:pt idx="1488">
                  <c:v>218400</c:v>
                </c:pt>
                <c:pt idx="1489">
                  <c:v>218400</c:v>
                </c:pt>
                <c:pt idx="1490">
                  <c:v>218600</c:v>
                </c:pt>
                <c:pt idx="1491">
                  <c:v>218700</c:v>
                </c:pt>
                <c:pt idx="1492">
                  <c:v>218700</c:v>
                </c:pt>
                <c:pt idx="1493">
                  <c:v>218800</c:v>
                </c:pt>
                <c:pt idx="1494">
                  <c:v>219000</c:v>
                </c:pt>
                <c:pt idx="1495">
                  <c:v>219100</c:v>
                </c:pt>
                <c:pt idx="1496">
                  <c:v>219100</c:v>
                </c:pt>
                <c:pt idx="1497">
                  <c:v>219100</c:v>
                </c:pt>
                <c:pt idx="1498">
                  <c:v>219100</c:v>
                </c:pt>
                <c:pt idx="1499">
                  <c:v>219200</c:v>
                </c:pt>
                <c:pt idx="1500">
                  <c:v>219400</c:v>
                </c:pt>
                <c:pt idx="1501">
                  <c:v>219500</c:v>
                </c:pt>
                <c:pt idx="1502">
                  <c:v>219900</c:v>
                </c:pt>
                <c:pt idx="1503">
                  <c:v>219900</c:v>
                </c:pt>
                <c:pt idx="1504">
                  <c:v>220000</c:v>
                </c:pt>
                <c:pt idx="1505">
                  <c:v>220100</c:v>
                </c:pt>
                <c:pt idx="1506">
                  <c:v>220200</c:v>
                </c:pt>
                <c:pt idx="1507">
                  <c:v>220200</c:v>
                </c:pt>
                <c:pt idx="1508">
                  <c:v>220200</c:v>
                </c:pt>
                <c:pt idx="1509">
                  <c:v>220200</c:v>
                </c:pt>
                <c:pt idx="1510">
                  <c:v>220500</c:v>
                </c:pt>
                <c:pt idx="1511">
                  <c:v>220500</c:v>
                </c:pt>
                <c:pt idx="1512">
                  <c:v>220500</c:v>
                </c:pt>
                <c:pt idx="1513">
                  <c:v>220900</c:v>
                </c:pt>
                <c:pt idx="1514">
                  <c:v>220900</c:v>
                </c:pt>
                <c:pt idx="1515">
                  <c:v>221000</c:v>
                </c:pt>
                <c:pt idx="1516">
                  <c:v>221100</c:v>
                </c:pt>
                <c:pt idx="1517">
                  <c:v>221100</c:v>
                </c:pt>
                <c:pt idx="1518">
                  <c:v>221100</c:v>
                </c:pt>
                <c:pt idx="1519">
                  <c:v>221100</c:v>
                </c:pt>
                <c:pt idx="1520">
                  <c:v>221200</c:v>
                </c:pt>
                <c:pt idx="1521">
                  <c:v>221200</c:v>
                </c:pt>
                <c:pt idx="1522">
                  <c:v>221200</c:v>
                </c:pt>
                <c:pt idx="1523">
                  <c:v>221200</c:v>
                </c:pt>
                <c:pt idx="1524">
                  <c:v>221300</c:v>
                </c:pt>
                <c:pt idx="1525">
                  <c:v>221500</c:v>
                </c:pt>
                <c:pt idx="1526">
                  <c:v>221600</c:v>
                </c:pt>
                <c:pt idx="1527">
                  <c:v>221600</c:v>
                </c:pt>
                <c:pt idx="1528">
                  <c:v>221800</c:v>
                </c:pt>
                <c:pt idx="1529">
                  <c:v>221800</c:v>
                </c:pt>
                <c:pt idx="1530">
                  <c:v>221900</c:v>
                </c:pt>
                <c:pt idx="1531">
                  <c:v>221900</c:v>
                </c:pt>
                <c:pt idx="1532">
                  <c:v>221900</c:v>
                </c:pt>
                <c:pt idx="1533">
                  <c:v>221900</c:v>
                </c:pt>
                <c:pt idx="1534">
                  <c:v>222000</c:v>
                </c:pt>
                <c:pt idx="1535">
                  <c:v>222000</c:v>
                </c:pt>
                <c:pt idx="1536">
                  <c:v>222100</c:v>
                </c:pt>
                <c:pt idx="1537">
                  <c:v>222200</c:v>
                </c:pt>
                <c:pt idx="1538">
                  <c:v>222200</c:v>
                </c:pt>
                <c:pt idx="1539">
                  <c:v>222200</c:v>
                </c:pt>
                <c:pt idx="1540">
                  <c:v>222300</c:v>
                </c:pt>
                <c:pt idx="1541">
                  <c:v>222300</c:v>
                </c:pt>
                <c:pt idx="1542">
                  <c:v>222300</c:v>
                </c:pt>
                <c:pt idx="1543">
                  <c:v>222300</c:v>
                </c:pt>
                <c:pt idx="1544">
                  <c:v>222400</c:v>
                </c:pt>
                <c:pt idx="1545">
                  <c:v>222600</c:v>
                </c:pt>
                <c:pt idx="1546">
                  <c:v>222600</c:v>
                </c:pt>
                <c:pt idx="1547">
                  <c:v>222700</c:v>
                </c:pt>
                <c:pt idx="1548">
                  <c:v>222700</c:v>
                </c:pt>
                <c:pt idx="1549">
                  <c:v>222700</c:v>
                </c:pt>
                <c:pt idx="1550">
                  <c:v>222700</c:v>
                </c:pt>
                <c:pt idx="1551">
                  <c:v>222700</c:v>
                </c:pt>
                <c:pt idx="1552">
                  <c:v>222800</c:v>
                </c:pt>
                <c:pt idx="1553">
                  <c:v>222800</c:v>
                </c:pt>
                <c:pt idx="1554">
                  <c:v>222900</c:v>
                </c:pt>
                <c:pt idx="1555">
                  <c:v>223200</c:v>
                </c:pt>
                <c:pt idx="1556">
                  <c:v>223200</c:v>
                </c:pt>
                <c:pt idx="1557">
                  <c:v>223200</c:v>
                </c:pt>
                <c:pt idx="1558">
                  <c:v>223200</c:v>
                </c:pt>
                <c:pt idx="1559">
                  <c:v>223200</c:v>
                </c:pt>
                <c:pt idx="1560">
                  <c:v>223200</c:v>
                </c:pt>
                <c:pt idx="1561">
                  <c:v>223300</c:v>
                </c:pt>
                <c:pt idx="1562">
                  <c:v>223300</c:v>
                </c:pt>
                <c:pt idx="1563">
                  <c:v>223400</c:v>
                </c:pt>
                <c:pt idx="1564">
                  <c:v>223500</c:v>
                </c:pt>
                <c:pt idx="1565">
                  <c:v>223500</c:v>
                </c:pt>
                <c:pt idx="1566">
                  <c:v>223600</c:v>
                </c:pt>
                <c:pt idx="1567">
                  <c:v>223600</c:v>
                </c:pt>
                <c:pt idx="1568">
                  <c:v>223700</c:v>
                </c:pt>
                <c:pt idx="1569">
                  <c:v>223700</c:v>
                </c:pt>
                <c:pt idx="1570">
                  <c:v>223700</c:v>
                </c:pt>
                <c:pt idx="1571">
                  <c:v>223800</c:v>
                </c:pt>
                <c:pt idx="1572">
                  <c:v>223800</c:v>
                </c:pt>
                <c:pt idx="1573">
                  <c:v>223800</c:v>
                </c:pt>
                <c:pt idx="1574">
                  <c:v>223800</c:v>
                </c:pt>
                <c:pt idx="1575">
                  <c:v>224100</c:v>
                </c:pt>
                <c:pt idx="1576">
                  <c:v>224100</c:v>
                </c:pt>
                <c:pt idx="1577">
                  <c:v>224100</c:v>
                </c:pt>
                <c:pt idx="1578">
                  <c:v>224200</c:v>
                </c:pt>
                <c:pt idx="1579">
                  <c:v>224300</c:v>
                </c:pt>
                <c:pt idx="1580">
                  <c:v>224300</c:v>
                </c:pt>
                <c:pt idx="1581">
                  <c:v>224300</c:v>
                </c:pt>
                <c:pt idx="1582">
                  <c:v>224400</c:v>
                </c:pt>
                <c:pt idx="1583">
                  <c:v>224800</c:v>
                </c:pt>
                <c:pt idx="1584">
                  <c:v>224900</c:v>
                </c:pt>
                <c:pt idx="1585">
                  <c:v>224900</c:v>
                </c:pt>
                <c:pt idx="1586">
                  <c:v>224900</c:v>
                </c:pt>
                <c:pt idx="1587">
                  <c:v>224900</c:v>
                </c:pt>
                <c:pt idx="1588">
                  <c:v>224900</c:v>
                </c:pt>
                <c:pt idx="1589">
                  <c:v>224900</c:v>
                </c:pt>
                <c:pt idx="1590">
                  <c:v>225100</c:v>
                </c:pt>
                <c:pt idx="1591">
                  <c:v>225150</c:v>
                </c:pt>
                <c:pt idx="1592">
                  <c:v>225152</c:v>
                </c:pt>
                <c:pt idx="1593">
                  <c:v>225300</c:v>
                </c:pt>
                <c:pt idx="1594">
                  <c:v>225400</c:v>
                </c:pt>
                <c:pt idx="1595">
                  <c:v>225500</c:v>
                </c:pt>
                <c:pt idx="1596">
                  <c:v>225800</c:v>
                </c:pt>
                <c:pt idx="1597">
                  <c:v>225800</c:v>
                </c:pt>
                <c:pt idx="1598">
                  <c:v>225800</c:v>
                </c:pt>
                <c:pt idx="1599">
                  <c:v>225800</c:v>
                </c:pt>
                <c:pt idx="1600">
                  <c:v>225900</c:v>
                </c:pt>
                <c:pt idx="1601">
                  <c:v>226000</c:v>
                </c:pt>
                <c:pt idx="1602">
                  <c:v>226200</c:v>
                </c:pt>
                <c:pt idx="1603">
                  <c:v>226200</c:v>
                </c:pt>
                <c:pt idx="1604">
                  <c:v>226300</c:v>
                </c:pt>
                <c:pt idx="1605">
                  <c:v>226300</c:v>
                </c:pt>
                <c:pt idx="1606">
                  <c:v>226300</c:v>
                </c:pt>
                <c:pt idx="1607">
                  <c:v>226300</c:v>
                </c:pt>
                <c:pt idx="1608">
                  <c:v>226300</c:v>
                </c:pt>
                <c:pt idx="1609">
                  <c:v>226500</c:v>
                </c:pt>
                <c:pt idx="1610">
                  <c:v>226600</c:v>
                </c:pt>
                <c:pt idx="1611">
                  <c:v>226600</c:v>
                </c:pt>
                <c:pt idx="1612">
                  <c:v>226700</c:v>
                </c:pt>
                <c:pt idx="1613">
                  <c:v>226800</c:v>
                </c:pt>
                <c:pt idx="1614">
                  <c:v>226900</c:v>
                </c:pt>
                <c:pt idx="1615">
                  <c:v>226900</c:v>
                </c:pt>
                <c:pt idx="1616">
                  <c:v>227000</c:v>
                </c:pt>
                <c:pt idx="1617">
                  <c:v>227200</c:v>
                </c:pt>
                <c:pt idx="1618">
                  <c:v>227200</c:v>
                </c:pt>
                <c:pt idx="1619">
                  <c:v>227300</c:v>
                </c:pt>
                <c:pt idx="1620">
                  <c:v>227300</c:v>
                </c:pt>
                <c:pt idx="1621">
                  <c:v>227300</c:v>
                </c:pt>
                <c:pt idx="1622">
                  <c:v>227300</c:v>
                </c:pt>
                <c:pt idx="1623">
                  <c:v>227300</c:v>
                </c:pt>
                <c:pt idx="1624">
                  <c:v>227300</c:v>
                </c:pt>
                <c:pt idx="1625">
                  <c:v>227300</c:v>
                </c:pt>
                <c:pt idx="1626">
                  <c:v>227300</c:v>
                </c:pt>
                <c:pt idx="1627">
                  <c:v>227300</c:v>
                </c:pt>
                <c:pt idx="1628">
                  <c:v>227400</c:v>
                </c:pt>
                <c:pt idx="1629">
                  <c:v>227500</c:v>
                </c:pt>
                <c:pt idx="1630">
                  <c:v>227500</c:v>
                </c:pt>
                <c:pt idx="1631">
                  <c:v>227500</c:v>
                </c:pt>
                <c:pt idx="1632">
                  <c:v>227500</c:v>
                </c:pt>
                <c:pt idx="1633">
                  <c:v>227600</c:v>
                </c:pt>
                <c:pt idx="1634">
                  <c:v>227600</c:v>
                </c:pt>
                <c:pt idx="1635">
                  <c:v>227700</c:v>
                </c:pt>
                <c:pt idx="1636">
                  <c:v>228000</c:v>
                </c:pt>
                <c:pt idx="1637">
                  <c:v>228100</c:v>
                </c:pt>
                <c:pt idx="1638">
                  <c:v>228200</c:v>
                </c:pt>
                <c:pt idx="1639">
                  <c:v>228300</c:v>
                </c:pt>
                <c:pt idx="1640">
                  <c:v>228400</c:v>
                </c:pt>
                <c:pt idx="1641">
                  <c:v>228400</c:v>
                </c:pt>
                <c:pt idx="1642">
                  <c:v>228600</c:v>
                </c:pt>
                <c:pt idx="1643">
                  <c:v>228600</c:v>
                </c:pt>
                <c:pt idx="1644">
                  <c:v>228800</c:v>
                </c:pt>
                <c:pt idx="1645">
                  <c:v>228900</c:v>
                </c:pt>
                <c:pt idx="1646">
                  <c:v>229100</c:v>
                </c:pt>
                <c:pt idx="1647">
                  <c:v>229271</c:v>
                </c:pt>
                <c:pt idx="1648">
                  <c:v>229300</c:v>
                </c:pt>
                <c:pt idx="1649">
                  <c:v>229300</c:v>
                </c:pt>
                <c:pt idx="1650">
                  <c:v>229400</c:v>
                </c:pt>
                <c:pt idx="1651">
                  <c:v>229400</c:v>
                </c:pt>
                <c:pt idx="1652">
                  <c:v>229500</c:v>
                </c:pt>
                <c:pt idx="1653">
                  <c:v>229500</c:v>
                </c:pt>
                <c:pt idx="1654">
                  <c:v>229500</c:v>
                </c:pt>
                <c:pt idx="1655">
                  <c:v>229600</c:v>
                </c:pt>
                <c:pt idx="1656">
                  <c:v>229600</c:v>
                </c:pt>
                <c:pt idx="1657">
                  <c:v>229700</c:v>
                </c:pt>
                <c:pt idx="1658">
                  <c:v>229800</c:v>
                </c:pt>
                <c:pt idx="1659">
                  <c:v>229800</c:v>
                </c:pt>
                <c:pt idx="1660">
                  <c:v>230100</c:v>
                </c:pt>
                <c:pt idx="1661">
                  <c:v>230200</c:v>
                </c:pt>
                <c:pt idx="1662">
                  <c:v>230200</c:v>
                </c:pt>
                <c:pt idx="1663">
                  <c:v>230300</c:v>
                </c:pt>
                <c:pt idx="1664">
                  <c:v>230400</c:v>
                </c:pt>
                <c:pt idx="1665">
                  <c:v>230500</c:v>
                </c:pt>
                <c:pt idx="1666">
                  <c:v>230500</c:v>
                </c:pt>
                <c:pt idx="1667">
                  <c:v>230600</c:v>
                </c:pt>
                <c:pt idx="1668">
                  <c:v>230600</c:v>
                </c:pt>
                <c:pt idx="1669">
                  <c:v>230600</c:v>
                </c:pt>
                <c:pt idx="1670">
                  <c:v>230600</c:v>
                </c:pt>
                <c:pt idx="1671">
                  <c:v>230700</c:v>
                </c:pt>
                <c:pt idx="1672">
                  <c:v>230700</c:v>
                </c:pt>
                <c:pt idx="1673">
                  <c:v>230700</c:v>
                </c:pt>
                <c:pt idx="1674">
                  <c:v>230800</c:v>
                </c:pt>
                <c:pt idx="1675">
                  <c:v>230800</c:v>
                </c:pt>
                <c:pt idx="1676">
                  <c:v>230900</c:v>
                </c:pt>
                <c:pt idx="1677">
                  <c:v>231100</c:v>
                </c:pt>
                <c:pt idx="1678">
                  <c:v>231100</c:v>
                </c:pt>
                <c:pt idx="1679">
                  <c:v>231200</c:v>
                </c:pt>
                <c:pt idx="1680">
                  <c:v>231200</c:v>
                </c:pt>
                <c:pt idx="1681">
                  <c:v>231200</c:v>
                </c:pt>
                <c:pt idx="1682">
                  <c:v>231300</c:v>
                </c:pt>
                <c:pt idx="1683">
                  <c:v>231300</c:v>
                </c:pt>
                <c:pt idx="1684">
                  <c:v>231400</c:v>
                </c:pt>
                <c:pt idx="1685">
                  <c:v>231700</c:v>
                </c:pt>
                <c:pt idx="1686">
                  <c:v>231800</c:v>
                </c:pt>
                <c:pt idx="1687">
                  <c:v>231800</c:v>
                </c:pt>
                <c:pt idx="1688">
                  <c:v>232000</c:v>
                </c:pt>
                <c:pt idx="1689">
                  <c:v>232100</c:v>
                </c:pt>
                <c:pt idx="1690">
                  <c:v>232100</c:v>
                </c:pt>
                <c:pt idx="1691">
                  <c:v>232200</c:v>
                </c:pt>
                <c:pt idx="1692">
                  <c:v>232400</c:v>
                </c:pt>
                <c:pt idx="1693">
                  <c:v>232600</c:v>
                </c:pt>
                <c:pt idx="1694">
                  <c:v>232600</c:v>
                </c:pt>
                <c:pt idx="1695">
                  <c:v>232600</c:v>
                </c:pt>
                <c:pt idx="1696">
                  <c:v>232600</c:v>
                </c:pt>
                <c:pt idx="1697">
                  <c:v>232700</c:v>
                </c:pt>
                <c:pt idx="1698">
                  <c:v>232700</c:v>
                </c:pt>
                <c:pt idx="1699">
                  <c:v>232800</c:v>
                </c:pt>
                <c:pt idx="1700">
                  <c:v>232900</c:v>
                </c:pt>
                <c:pt idx="1701">
                  <c:v>233200</c:v>
                </c:pt>
                <c:pt idx="1702">
                  <c:v>233200</c:v>
                </c:pt>
                <c:pt idx="1703">
                  <c:v>233300</c:v>
                </c:pt>
                <c:pt idx="1704">
                  <c:v>233400</c:v>
                </c:pt>
                <c:pt idx="1705">
                  <c:v>233400</c:v>
                </c:pt>
                <c:pt idx="1706">
                  <c:v>233400</c:v>
                </c:pt>
                <c:pt idx="1707">
                  <c:v>233400</c:v>
                </c:pt>
                <c:pt idx="1708">
                  <c:v>233400</c:v>
                </c:pt>
                <c:pt idx="1709">
                  <c:v>233700</c:v>
                </c:pt>
                <c:pt idx="1710">
                  <c:v>233700</c:v>
                </c:pt>
                <c:pt idx="1711">
                  <c:v>233700</c:v>
                </c:pt>
                <c:pt idx="1712">
                  <c:v>233800</c:v>
                </c:pt>
                <c:pt idx="1713">
                  <c:v>233800</c:v>
                </c:pt>
                <c:pt idx="1714">
                  <c:v>234100</c:v>
                </c:pt>
                <c:pt idx="1715">
                  <c:v>234300</c:v>
                </c:pt>
                <c:pt idx="1716">
                  <c:v>234300</c:v>
                </c:pt>
                <c:pt idx="1717">
                  <c:v>234300</c:v>
                </c:pt>
                <c:pt idx="1718">
                  <c:v>234300</c:v>
                </c:pt>
                <c:pt idx="1719">
                  <c:v>234300</c:v>
                </c:pt>
                <c:pt idx="1720">
                  <c:v>234400</c:v>
                </c:pt>
                <c:pt idx="1721">
                  <c:v>234500</c:v>
                </c:pt>
                <c:pt idx="1722">
                  <c:v>234700</c:v>
                </c:pt>
                <c:pt idx="1723">
                  <c:v>234700</c:v>
                </c:pt>
                <c:pt idx="1724">
                  <c:v>235200</c:v>
                </c:pt>
                <c:pt idx="1725">
                  <c:v>235400</c:v>
                </c:pt>
                <c:pt idx="1726">
                  <c:v>235475</c:v>
                </c:pt>
                <c:pt idx="1727">
                  <c:v>235500</c:v>
                </c:pt>
                <c:pt idx="1728">
                  <c:v>235500</c:v>
                </c:pt>
                <c:pt idx="1729">
                  <c:v>235500</c:v>
                </c:pt>
                <c:pt idx="1730">
                  <c:v>235600</c:v>
                </c:pt>
                <c:pt idx="1731">
                  <c:v>235600</c:v>
                </c:pt>
                <c:pt idx="1732">
                  <c:v>235600</c:v>
                </c:pt>
                <c:pt idx="1733">
                  <c:v>235900</c:v>
                </c:pt>
                <c:pt idx="1734">
                  <c:v>235900</c:v>
                </c:pt>
                <c:pt idx="1735">
                  <c:v>235900</c:v>
                </c:pt>
                <c:pt idx="1736">
                  <c:v>236200</c:v>
                </c:pt>
                <c:pt idx="1737">
                  <c:v>236200</c:v>
                </c:pt>
                <c:pt idx="1738">
                  <c:v>236300</c:v>
                </c:pt>
                <c:pt idx="1739">
                  <c:v>236600</c:v>
                </c:pt>
                <c:pt idx="1740">
                  <c:v>236700</c:v>
                </c:pt>
                <c:pt idx="1741">
                  <c:v>236700</c:v>
                </c:pt>
                <c:pt idx="1742">
                  <c:v>236800</c:v>
                </c:pt>
                <c:pt idx="1743">
                  <c:v>236900</c:v>
                </c:pt>
                <c:pt idx="1744">
                  <c:v>237000</c:v>
                </c:pt>
                <c:pt idx="1745">
                  <c:v>237000</c:v>
                </c:pt>
                <c:pt idx="1746">
                  <c:v>237000</c:v>
                </c:pt>
                <c:pt idx="1747">
                  <c:v>237000</c:v>
                </c:pt>
                <c:pt idx="1748">
                  <c:v>237100</c:v>
                </c:pt>
                <c:pt idx="1749">
                  <c:v>237100</c:v>
                </c:pt>
                <c:pt idx="1750">
                  <c:v>237100</c:v>
                </c:pt>
                <c:pt idx="1751">
                  <c:v>237200</c:v>
                </c:pt>
                <c:pt idx="1752">
                  <c:v>237300</c:v>
                </c:pt>
                <c:pt idx="1753">
                  <c:v>237500</c:v>
                </c:pt>
                <c:pt idx="1754">
                  <c:v>237600</c:v>
                </c:pt>
                <c:pt idx="1755">
                  <c:v>237700</c:v>
                </c:pt>
                <c:pt idx="1756">
                  <c:v>237700</c:v>
                </c:pt>
                <c:pt idx="1757">
                  <c:v>237800</c:v>
                </c:pt>
                <c:pt idx="1758">
                  <c:v>237900</c:v>
                </c:pt>
                <c:pt idx="1759">
                  <c:v>237900</c:v>
                </c:pt>
                <c:pt idx="1760">
                  <c:v>238000</c:v>
                </c:pt>
                <c:pt idx="1761">
                  <c:v>238000</c:v>
                </c:pt>
                <c:pt idx="1762">
                  <c:v>238300</c:v>
                </c:pt>
                <c:pt idx="1763">
                  <c:v>238400</c:v>
                </c:pt>
                <c:pt idx="1764">
                  <c:v>238400</c:v>
                </c:pt>
                <c:pt idx="1765">
                  <c:v>238400</c:v>
                </c:pt>
                <c:pt idx="1766">
                  <c:v>238700</c:v>
                </c:pt>
                <c:pt idx="1767">
                  <c:v>238700</c:v>
                </c:pt>
                <c:pt idx="1768">
                  <c:v>238800</c:v>
                </c:pt>
                <c:pt idx="1769">
                  <c:v>238800</c:v>
                </c:pt>
                <c:pt idx="1770">
                  <c:v>238900</c:v>
                </c:pt>
                <c:pt idx="1771">
                  <c:v>238900</c:v>
                </c:pt>
                <c:pt idx="1772">
                  <c:v>239100</c:v>
                </c:pt>
                <c:pt idx="1773">
                  <c:v>239100</c:v>
                </c:pt>
                <c:pt idx="1774">
                  <c:v>239145</c:v>
                </c:pt>
                <c:pt idx="1775">
                  <c:v>239200</c:v>
                </c:pt>
                <c:pt idx="1776">
                  <c:v>239300</c:v>
                </c:pt>
                <c:pt idx="1777">
                  <c:v>239300</c:v>
                </c:pt>
                <c:pt idx="1778">
                  <c:v>239500</c:v>
                </c:pt>
                <c:pt idx="1779">
                  <c:v>239600</c:v>
                </c:pt>
                <c:pt idx="1780">
                  <c:v>239600</c:v>
                </c:pt>
                <c:pt idx="1781">
                  <c:v>239700</c:v>
                </c:pt>
                <c:pt idx="1782">
                  <c:v>239900</c:v>
                </c:pt>
                <c:pt idx="1783">
                  <c:v>239900</c:v>
                </c:pt>
                <c:pt idx="1784">
                  <c:v>240000</c:v>
                </c:pt>
                <c:pt idx="1785">
                  <c:v>240100</c:v>
                </c:pt>
                <c:pt idx="1786">
                  <c:v>240100</c:v>
                </c:pt>
                <c:pt idx="1787">
                  <c:v>240200</c:v>
                </c:pt>
                <c:pt idx="1788">
                  <c:v>240300</c:v>
                </c:pt>
                <c:pt idx="1789">
                  <c:v>240300</c:v>
                </c:pt>
                <c:pt idx="1790">
                  <c:v>240300</c:v>
                </c:pt>
                <c:pt idx="1791">
                  <c:v>240400</c:v>
                </c:pt>
                <c:pt idx="1792">
                  <c:v>240500</c:v>
                </c:pt>
                <c:pt idx="1793">
                  <c:v>240700</c:v>
                </c:pt>
                <c:pt idx="1794">
                  <c:v>240700</c:v>
                </c:pt>
                <c:pt idx="1795">
                  <c:v>240700</c:v>
                </c:pt>
                <c:pt idx="1796">
                  <c:v>241000</c:v>
                </c:pt>
                <c:pt idx="1797">
                  <c:v>241400</c:v>
                </c:pt>
                <c:pt idx="1798">
                  <c:v>241400</c:v>
                </c:pt>
                <c:pt idx="1799">
                  <c:v>241500</c:v>
                </c:pt>
                <c:pt idx="1800">
                  <c:v>241600</c:v>
                </c:pt>
                <c:pt idx="1801">
                  <c:v>241600</c:v>
                </c:pt>
                <c:pt idx="1802">
                  <c:v>241600</c:v>
                </c:pt>
                <c:pt idx="1803">
                  <c:v>241900</c:v>
                </c:pt>
                <c:pt idx="1804">
                  <c:v>242200</c:v>
                </c:pt>
                <c:pt idx="1805">
                  <c:v>242300</c:v>
                </c:pt>
                <c:pt idx="1806">
                  <c:v>242300</c:v>
                </c:pt>
                <c:pt idx="1807">
                  <c:v>242300</c:v>
                </c:pt>
                <c:pt idx="1808">
                  <c:v>242400</c:v>
                </c:pt>
                <c:pt idx="1809">
                  <c:v>242400</c:v>
                </c:pt>
                <c:pt idx="1810">
                  <c:v>242600</c:v>
                </c:pt>
                <c:pt idx="1811">
                  <c:v>242600</c:v>
                </c:pt>
                <c:pt idx="1812">
                  <c:v>242700</c:v>
                </c:pt>
                <c:pt idx="1813">
                  <c:v>242700</c:v>
                </c:pt>
                <c:pt idx="1814">
                  <c:v>242700</c:v>
                </c:pt>
                <c:pt idx="1815">
                  <c:v>242800</c:v>
                </c:pt>
                <c:pt idx="1816">
                  <c:v>242900</c:v>
                </c:pt>
                <c:pt idx="1817">
                  <c:v>243000</c:v>
                </c:pt>
                <c:pt idx="1818">
                  <c:v>243000</c:v>
                </c:pt>
                <c:pt idx="1819">
                  <c:v>243100</c:v>
                </c:pt>
                <c:pt idx="1820">
                  <c:v>243300</c:v>
                </c:pt>
                <c:pt idx="1821">
                  <c:v>243400</c:v>
                </c:pt>
                <c:pt idx="1822">
                  <c:v>243500</c:v>
                </c:pt>
                <c:pt idx="1823">
                  <c:v>243500</c:v>
                </c:pt>
                <c:pt idx="1824">
                  <c:v>243500</c:v>
                </c:pt>
                <c:pt idx="1825">
                  <c:v>243600</c:v>
                </c:pt>
                <c:pt idx="1826">
                  <c:v>243800</c:v>
                </c:pt>
                <c:pt idx="1827">
                  <c:v>243800</c:v>
                </c:pt>
                <c:pt idx="1828">
                  <c:v>244000</c:v>
                </c:pt>
                <c:pt idx="1829">
                  <c:v>244100</c:v>
                </c:pt>
                <c:pt idx="1830">
                  <c:v>244100</c:v>
                </c:pt>
                <c:pt idx="1831">
                  <c:v>244200</c:v>
                </c:pt>
                <c:pt idx="1832">
                  <c:v>244300</c:v>
                </c:pt>
                <c:pt idx="1833">
                  <c:v>244400</c:v>
                </c:pt>
                <c:pt idx="1834">
                  <c:v>244400</c:v>
                </c:pt>
                <c:pt idx="1835">
                  <c:v>244400</c:v>
                </c:pt>
                <c:pt idx="1836">
                  <c:v>244400</c:v>
                </c:pt>
                <c:pt idx="1837">
                  <c:v>244500</c:v>
                </c:pt>
                <c:pt idx="1838">
                  <c:v>244800</c:v>
                </c:pt>
                <c:pt idx="1839">
                  <c:v>245000</c:v>
                </c:pt>
                <c:pt idx="1840">
                  <c:v>245000</c:v>
                </c:pt>
                <c:pt idx="1841">
                  <c:v>245000</c:v>
                </c:pt>
                <c:pt idx="1842">
                  <c:v>245100</c:v>
                </c:pt>
                <c:pt idx="1843">
                  <c:v>245100</c:v>
                </c:pt>
                <c:pt idx="1844">
                  <c:v>245500</c:v>
                </c:pt>
                <c:pt idx="1845">
                  <c:v>245500</c:v>
                </c:pt>
                <c:pt idx="1846">
                  <c:v>245500</c:v>
                </c:pt>
                <c:pt idx="1847">
                  <c:v>245600</c:v>
                </c:pt>
                <c:pt idx="1848">
                  <c:v>245700</c:v>
                </c:pt>
                <c:pt idx="1849">
                  <c:v>245700</c:v>
                </c:pt>
                <c:pt idx="1850">
                  <c:v>245700</c:v>
                </c:pt>
                <c:pt idx="1851">
                  <c:v>245800</c:v>
                </c:pt>
                <c:pt idx="1852">
                  <c:v>246000</c:v>
                </c:pt>
                <c:pt idx="1853">
                  <c:v>246100</c:v>
                </c:pt>
                <c:pt idx="1854">
                  <c:v>246300</c:v>
                </c:pt>
                <c:pt idx="1855">
                  <c:v>246400</c:v>
                </c:pt>
                <c:pt idx="1856">
                  <c:v>246400</c:v>
                </c:pt>
                <c:pt idx="1857">
                  <c:v>246500</c:v>
                </c:pt>
                <c:pt idx="1858">
                  <c:v>246500</c:v>
                </c:pt>
                <c:pt idx="1859">
                  <c:v>246600</c:v>
                </c:pt>
                <c:pt idx="1860">
                  <c:v>246800</c:v>
                </c:pt>
                <c:pt idx="1861">
                  <c:v>246800</c:v>
                </c:pt>
                <c:pt idx="1862">
                  <c:v>246800</c:v>
                </c:pt>
                <c:pt idx="1863">
                  <c:v>246900</c:v>
                </c:pt>
                <c:pt idx="1864">
                  <c:v>246900</c:v>
                </c:pt>
                <c:pt idx="1865">
                  <c:v>247000</c:v>
                </c:pt>
                <c:pt idx="1866">
                  <c:v>247100</c:v>
                </c:pt>
                <c:pt idx="1867">
                  <c:v>247400</c:v>
                </c:pt>
                <c:pt idx="1868">
                  <c:v>247600</c:v>
                </c:pt>
                <c:pt idx="1869">
                  <c:v>247600</c:v>
                </c:pt>
                <c:pt idx="1870">
                  <c:v>247700</c:v>
                </c:pt>
                <c:pt idx="1871">
                  <c:v>247791</c:v>
                </c:pt>
                <c:pt idx="1872">
                  <c:v>247900</c:v>
                </c:pt>
                <c:pt idx="1873">
                  <c:v>247900</c:v>
                </c:pt>
                <c:pt idx="1874">
                  <c:v>248100</c:v>
                </c:pt>
                <c:pt idx="1875">
                  <c:v>248200</c:v>
                </c:pt>
                <c:pt idx="1876">
                  <c:v>248200</c:v>
                </c:pt>
                <c:pt idx="1877">
                  <c:v>248200</c:v>
                </c:pt>
                <c:pt idx="1878">
                  <c:v>248400</c:v>
                </c:pt>
                <c:pt idx="1879">
                  <c:v>248644</c:v>
                </c:pt>
                <c:pt idx="1880">
                  <c:v>248900</c:v>
                </c:pt>
                <c:pt idx="1881">
                  <c:v>249200</c:v>
                </c:pt>
                <c:pt idx="1882">
                  <c:v>249400</c:v>
                </c:pt>
                <c:pt idx="1883">
                  <c:v>249400</c:v>
                </c:pt>
                <c:pt idx="1884">
                  <c:v>249400</c:v>
                </c:pt>
                <c:pt idx="1885">
                  <c:v>249500</c:v>
                </c:pt>
                <c:pt idx="1886">
                  <c:v>249600</c:v>
                </c:pt>
                <c:pt idx="1887">
                  <c:v>249700</c:v>
                </c:pt>
                <c:pt idx="1888">
                  <c:v>249900</c:v>
                </c:pt>
                <c:pt idx="1889">
                  <c:v>249900</c:v>
                </c:pt>
                <c:pt idx="1890">
                  <c:v>250100</c:v>
                </c:pt>
                <c:pt idx="1891">
                  <c:v>250200</c:v>
                </c:pt>
                <c:pt idx="1892">
                  <c:v>250300</c:v>
                </c:pt>
                <c:pt idx="1893">
                  <c:v>250700</c:v>
                </c:pt>
                <c:pt idx="1894">
                  <c:v>250700</c:v>
                </c:pt>
                <c:pt idx="1895">
                  <c:v>250700</c:v>
                </c:pt>
                <c:pt idx="1896">
                  <c:v>250800</c:v>
                </c:pt>
                <c:pt idx="1897">
                  <c:v>250900</c:v>
                </c:pt>
                <c:pt idx="1898">
                  <c:v>251000</c:v>
                </c:pt>
                <c:pt idx="1899">
                  <c:v>251000</c:v>
                </c:pt>
                <c:pt idx="1900">
                  <c:v>251100</c:v>
                </c:pt>
                <c:pt idx="1901">
                  <c:v>251100</c:v>
                </c:pt>
                <c:pt idx="1902">
                  <c:v>251500</c:v>
                </c:pt>
                <c:pt idx="1903">
                  <c:v>251500</c:v>
                </c:pt>
                <c:pt idx="1904">
                  <c:v>251600</c:v>
                </c:pt>
                <c:pt idx="1905">
                  <c:v>251600</c:v>
                </c:pt>
                <c:pt idx="1906">
                  <c:v>251600</c:v>
                </c:pt>
                <c:pt idx="1907">
                  <c:v>251800</c:v>
                </c:pt>
                <c:pt idx="1908">
                  <c:v>251800</c:v>
                </c:pt>
                <c:pt idx="1909">
                  <c:v>251900</c:v>
                </c:pt>
                <c:pt idx="1910">
                  <c:v>251900</c:v>
                </c:pt>
                <c:pt idx="1911">
                  <c:v>252000</c:v>
                </c:pt>
                <c:pt idx="1912">
                  <c:v>252100</c:v>
                </c:pt>
                <c:pt idx="1913">
                  <c:v>252400</c:v>
                </c:pt>
                <c:pt idx="1914">
                  <c:v>252400</c:v>
                </c:pt>
                <c:pt idx="1915">
                  <c:v>252400</c:v>
                </c:pt>
                <c:pt idx="1916">
                  <c:v>252500</c:v>
                </c:pt>
                <c:pt idx="1917">
                  <c:v>252600</c:v>
                </c:pt>
                <c:pt idx="1918">
                  <c:v>252600</c:v>
                </c:pt>
                <c:pt idx="1919">
                  <c:v>252600</c:v>
                </c:pt>
                <c:pt idx="1920">
                  <c:v>252700</c:v>
                </c:pt>
                <c:pt idx="1921">
                  <c:v>252700</c:v>
                </c:pt>
                <c:pt idx="1922">
                  <c:v>252800</c:v>
                </c:pt>
                <c:pt idx="1923">
                  <c:v>252800</c:v>
                </c:pt>
                <c:pt idx="1924">
                  <c:v>253100</c:v>
                </c:pt>
                <c:pt idx="1925">
                  <c:v>253100</c:v>
                </c:pt>
                <c:pt idx="1926">
                  <c:v>253100</c:v>
                </c:pt>
                <c:pt idx="1927">
                  <c:v>253105</c:v>
                </c:pt>
                <c:pt idx="1928">
                  <c:v>253300</c:v>
                </c:pt>
                <c:pt idx="1929">
                  <c:v>253600</c:v>
                </c:pt>
                <c:pt idx="1930">
                  <c:v>253700</c:v>
                </c:pt>
                <c:pt idx="1931">
                  <c:v>253700</c:v>
                </c:pt>
                <c:pt idx="1932">
                  <c:v>253700</c:v>
                </c:pt>
                <c:pt idx="1933">
                  <c:v>253800</c:v>
                </c:pt>
                <c:pt idx="1934">
                  <c:v>253900</c:v>
                </c:pt>
                <c:pt idx="1935">
                  <c:v>253900</c:v>
                </c:pt>
                <c:pt idx="1936">
                  <c:v>254200</c:v>
                </c:pt>
                <c:pt idx="1937">
                  <c:v>254300</c:v>
                </c:pt>
                <c:pt idx="1938">
                  <c:v>254400</c:v>
                </c:pt>
                <c:pt idx="1939">
                  <c:v>254500</c:v>
                </c:pt>
                <c:pt idx="1940">
                  <c:v>254500</c:v>
                </c:pt>
                <c:pt idx="1941">
                  <c:v>254500</c:v>
                </c:pt>
                <c:pt idx="1942">
                  <c:v>254800</c:v>
                </c:pt>
                <c:pt idx="1943">
                  <c:v>254800</c:v>
                </c:pt>
                <c:pt idx="1944">
                  <c:v>254800</c:v>
                </c:pt>
                <c:pt idx="1945">
                  <c:v>254800</c:v>
                </c:pt>
                <c:pt idx="1946">
                  <c:v>254900</c:v>
                </c:pt>
                <c:pt idx="1947">
                  <c:v>254900</c:v>
                </c:pt>
                <c:pt idx="1948">
                  <c:v>255000</c:v>
                </c:pt>
                <c:pt idx="1949">
                  <c:v>255100</c:v>
                </c:pt>
                <c:pt idx="1950">
                  <c:v>255200</c:v>
                </c:pt>
                <c:pt idx="1951">
                  <c:v>255700</c:v>
                </c:pt>
                <c:pt idx="1952">
                  <c:v>255700</c:v>
                </c:pt>
                <c:pt idx="1953">
                  <c:v>255800</c:v>
                </c:pt>
                <c:pt idx="1954">
                  <c:v>256100</c:v>
                </c:pt>
                <c:pt idx="1955">
                  <c:v>256100</c:v>
                </c:pt>
                <c:pt idx="1956">
                  <c:v>256200</c:v>
                </c:pt>
                <c:pt idx="1957">
                  <c:v>256200</c:v>
                </c:pt>
                <c:pt idx="1958">
                  <c:v>256200</c:v>
                </c:pt>
                <c:pt idx="1959">
                  <c:v>256300</c:v>
                </c:pt>
                <c:pt idx="1960">
                  <c:v>256600</c:v>
                </c:pt>
                <c:pt idx="1961">
                  <c:v>256600</c:v>
                </c:pt>
                <c:pt idx="1962">
                  <c:v>256800</c:v>
                </c:pt>
                <c:pt idx="1963">
                  <c:v>256800</c:v>
                </c:pt>
                <c:pt idx="1964">
                  <c:v>256900</c:v>
                </c:pt>
                <c:pt idx="1965">
                  <c:v>257000</c:v>
                </c:pt>
                <c:pt idx="1966">
                  <c:v>257200</c:v>
                </c:pt>
                <c:pt idx="1967">
                  <c:v>257200</c:v>
                </c:pt>
                <c:pt idx="1968">
                  <c:v>257200</c:v>
                </c:pt>
                <c:pt idx="1969">
                  <c:v>257600</c:v>
                </c:pt>
                <c:pt idx="1970">
                  <c:v>257600</c:v>
                </c:pt>
                <c:pt idx="1971">
                  <c:v>257700</c:v>
                </c:pt>
                <c:pt idx="1972">
                  <c:v>257900</c:v>
                </c:pt>
                <c:pt idx="1973">
                  <c:v>258000</c:v>
                </c:pt>
                <c:pt idx="1974">
                  <c:v>258300</c:v>
                </c:pt>
                <c:pt idx="1975">
                  <c:v>258400</c:v>
                </c:pt>
                <c:pt idx="1976">
                  <c:v>258500</c:v>
                </c:pt>
                <c:pt idx="1977">
                  <c:v>258700</c:v>
                </c:pt>
                <c:pt idx="1978">
                  <c:v>258900</c:v>
                </c:pt>
                <c:pt idx="1979">
                  <c:v>259000</c:v>
                </c:pt>
                <c:pt idx="1980">
                  <c:v>259100</c:v>
                </c:pt>
                <c:pt idx="1981">
                  <c:v>259200</c:v>
                </c:pt>
                <c:pt idx="1982">
                  <c:v>259300</c:v>
                </c:pt>
                <c:pt idx="1983">
                  <c:v>259400</c:v>
                </c:pt>
                <c:pt idx="1984">
                  <c:v>259400</c:v>
                </c:pt>
                <c:pt idx="1985">
                  <c:v>259400</c:v>
                </c:pt>
                <c:pt idx="1986">
                  <c:v>259500</c:v>
                </c:pt>
                <c:pt idx="1987">
                  <c:v>259800</c:v>
                </c:pt>
                <c:pt idx="1988">
                  <c:v>260311</c:v>
                </c:pt>
                <c:pt idx="1989">
                  <c:v>260400</c:v>
                </c:pt>
                <c:pt idx="1990">
                  <c:v>260400</c:v>
                </c:pt>
                <c:pt idx="1991">
                  <c:v>260600</c:v>
                </c:pt>
                <c:pt idx="1992">
                  <c:v>260900</c:v>
                </c:pt>
                <c:pt idx="1993">
                  <c:v>260900</c:v>
                </c:pt>
                <c:pt idx="1994">
                  <c:v>261100</c:v>
                </c:pt>
                <c:pt idx="1995">
                  <c:v>261200</c:v>
                </c:pt>
                <c:pt idx="1996">
                  <c:v>261700</c:v>
                </c:pt>
                <c:pt idx="1997">
                  <c:v>261700</c:v>
                </c:pt>
                <c:pt idx="1998">
                  <c:v>261700</c:v>
                </c:pt>
                <c:pt idx="1999">
                  <c:v>261900</c:v>
                </c:pt>
                <c:pt idx="2000">
                  <c:v>262100</c:v>
                </c:pt>
                <c:pt idx="2001">
                  <c:v>262500</c:v>
                </c:pt>
                <c:pt idx="2002">
                  <c:v>262500</c:v>
                </c:pt>
                <c:pt idx="2003">
                  <c:v>263200</c:v>
                </c:pt>
                <c:pt idx="2004">
                  <c:v>263200</c:v>
                </c:pt>
                <c:pt idx="2005">
                  <c:v>263300</c:v>
                </c:pt>
                <c:pt idx="2006">
                  <c:v>263400</c:v>
                </c:pt>
                <c:pt idx="2007">
                  <c:v>263500</c:v>
                </c:pt>
                <c:pt idx="2008">
                  <c:v>263900</c:v>
                </c:pt>
                <c:pt idx="2009">
                  <c:v>264000</c:v>
                </c:pt>
                <c:pt idx="2010">
                  <c:v>264000</c:v>
                </c:pt>
                <c:pt idx="2011">
                  <c:v>264300</c:v>
                </c:pt>
                <c:pt idx="2012">
                  <c:v>264400</c:v>
                </c:pt>
                <c:pt idx="2013">
                  <c:v>264400</c:v>
                </c:pt>
                <c:pt idx="2014">
                  <c:v>264700</c:v>
                </c:pt>
                <c:pt idx="2015">
                  <c:v>264700</c:v>
                </c:pt>
                <c:pt idx="2016">
                  <c:v>264900</c:v>
                </c:pt>
                <c:pt idx="2017">
                  <c:v>264900</c:v>
                </c:pt>
                <c:pt idx="2018">
                  <c:v>264900</c:v>
                </c:pt>
                <c:pt idx="2019">
                  <c:v>265000</c:v>
                </c:pt>
                <c:pt idx="2020">
                  <c:v>265100</c:v>
                </c:pt>
                <c:pt idx="2021">
                  <c:v>265200</c:v>
                </c:pt>
                <c:pt idx="2022">
                  <c:v>265300</c:v>
                </c:pt>
                <c:pt idx="2023">
                  <c:v>265400</c:v>
                </c:pt>
                <c:pt idx="2024">
                  <c:v>265600</c:v>
                </c:pt>
                <c:pt idx="2025">
                  <c:v>265600</c:v>
                </c:pt>
                <c:pt idx="2026">
                  <c:v>265600</c:v>
                </c:pt>
                <c:pt idx="2027">
                  <c:v>265800</c:v>
                </c:pt>
                <c:pt idx="2028">
                  <c:v>265800</c:v>
                </c:pt>
                <c:pt idx="2029">
                  <c:v>266000</c:v>
                </c:pt>
                <c:pt idx="2030">
                  <c:v>266400</c:v>
                </c:pt>
                <c:pt idx="2031">
                  <c:v>266500</c:v>
                </c:pt>
                <c:pt idx="2032">
                  <c:v>266600</c:v>
                </c:pt>
                <c:pt idx="2033">
                  <c:v>266800</c:v>
                </c:pt>
                <c:pt idx="2034">
                  <c:v>267100</c:v>
                </c:pt>
                <c:pt idx="2035">
                  <c:v>267200</c:v>
                </c:pt>
                <c:pt idx="2036">
                  <c:v>267400</c:v>
                </c:pt>
                <c:pt idx="2037">
                  <c:v>267500</c:v>
                </c:pt>
                <c:pt idx="2038">
                  <c:v>267600</c:v>
                </c:pt>
                <c:pt idx="2039">
                  <c:v>267800</c:v>
                </c:pt>
                <c:pt idx="2040">
                  <c:v>267800</c:v>
                </c:pt>
                <c:pt idx="2041">
                  <c:v>267900</c:v>
                </c:pt>
                <c:pt idx="2042">
                  <c:v>267900</c:v>
                </c:pt>
                <c:pt idx="2043">
                  <c:v>268000</c:v>
                </c:pt>
                <c:pt idx="2044">
                  <c:v>268200</c:v>
                </c:pt>
                <c:pt idx="2045">
                  <c:v>268200</c:v>
                </c:pt>
                <c:pt idx="2046">
                  <c:v>268400</c:v>
                </c:pt>
                <c:pt idx="2047">
                  <c:v>268500</c:v>
                </c:pt>
                <c:pt idx="2048">
                  <c:v>268700</c:v>
                </c:pt>
                <c:pt idx="2049">
                  <c:v>268700</c:v>
                </c:pt>
                <c:pt idx="2050">
                  <c:v>268800</c:v>
                </c:pt>
                <c:pt idx="2051">
                  <c:v>268800</c:v>
                </c:pt>
                <c:pt idx="2052">
                  <c:v>268800</c:v>
                </c:pt>
                <c:pt idx="2053">
                  <c:v>268900</c:v>
                </c:pt>
                <c:pt idx="2054">
                  <c:v>269000</c:v>
                </c:pt>
                <c:pt idx="2055">
                  <c:v>269100</c:v>
                </c:pt>
                <c:pt idx="2056">
                  <c:v>269200</c:v>
                </c:pt>
                <c:pt idx="2057">
                  <c:v>269200</c:v>
                </c:pt>
                <c:pt idx="2058">
                  <c:v>269300</c:v>
                </c:pt>
                <c:pt idx="2059">
                  <c:v>269600</c:v>
                </c:pt>
                <c:pt idx="2060">
                  <c:v>269800</c:v>
                </c:pt>
                <c:pt idx="2061">
                  <c:v>269800</c:v>
                </c:pt>
                <c:pt idx="2062">
                  <c:v>269800</c:v>
                </c:pt>
                <c:pt idx="2063">
                  <c:v>269900</c:v>
                </c:pt>
                <c:pt idx="2064">
                  <c:v>270000</c:v>
                </c:pt>
                <c:pt idx="2065">
                  <c:v>270000</c:v>
                </c:pt>
                <c:pt idx="2066">
                  <c:v>270200</c:v>
                </c:pt>
                <c:pt idx="2067">
                  <c:v>270400</c:v>
                </c:pt>
                <c:pt idx="2068">
                  <c:v>270400</c:v>
                </c:pt>
                <c:pt idx="2069">
                  <c:v>270600</c:v>
                </c:pt>
                <c:pt idx="2070">
                  <c:v>270700</c:v>
                </c:pt>
                <c:pt idx="2071">
                  <c:v>270700</c:v>
                </c:pt>
                <c:pt idx="2072">
                  <c:v>270700</c:v>
                </c:pt>
                <c:pt idx="2073">
                  <c:v>270800</c:v>
                </c:pt>
                <c:pt idx="2074">
                  <c:v>270800</c:v>
                </c:pt>
                <c:pt idx="2075">
                  <c:v>270800</c:v>
                </c:pt>
                <c:pt idx="2076">
                  <c:v>271000</c:v>
                </c:pt>
                <c:pt idx="2077">
                  <c:v>271100</c:v>
                </c:pt>
                <c:pt idx="2078">
                  <c:v>271100</c:v>
                </c:pt>
                <c:pt idx="2079">
                  <c:v>271100</c:v>
                </c:pt>
                <c:pt idx="2080">
                  <c:v>271200</c:v>
                </c:pt>
                <c:pt idx="2081">
                  <c:v>271300</c:v>
                </c:pt>
                <c:pt idx="2082">
                  <c:v>271300</c:v>
                </c:pt>
                <c:pt idx="2083">
                  <c:v>271600</c:v>
                </c:pt>
                <c:pt idx="2084">
                  <c:v>271600</c:v>
                </c:pt>
                <c:pt idx="2085">
                  <c:v>271655</c:v>
                </c:pt>
                <c:pt idx="2086">
                  <c:v>271900</c:v>
                </c:pt>
                <c:pt idx="2087">
                  <c:v>272200</c:v>
                </c:pt>
                <c:pt idx="2088">
                  <c:v>272200</c:v>
                </c:pt>
                <c:pt idx="2089">
                  <c:v>272400</c:v>
                </c:pt>
                <c:pt idx="2090">
                  <c:v>272400</c:v>
                </c:pt>
                <c:pt idx="2091">
                  <c:v>272400</c:v>
                </c:pt>
                <c:pt idx="2092">
                  <c:v>272500</c:v>
                </c:pt>
                <c:pt idx="2093">
                  <c:v>272800</c:v>
                </c:pt>
                <c:pt idx="2094">
                  <c:v>272900</c:v>
                </c:pt>
                <c:pt idx="2095">
                  <c:v>273100</c:v>
                </c:pt>
                <c:pt idx="2096">
                  <c:v>273200</c:v>
                </c:pt>
                <c:pt idx="2097">
                  <c:v>273800</c:v>
                </c:pt>
                <c:pt idx="2098">
                  <c:v>273900</c:v>
                </c:pt>
                <c:pt idx="2099">
                  <c:v>273900</c:v>
                </c:pt>
                <c:pt idx="2100">
                  <c:v>274000</c:v>
                </c:pt>
                <c:pt idx="2101">
                  <c:v>274100</c:v>
                </c:pt>
                <c:pt idx="2102">
                  <c:v>274300</c:v>
                </c:pt>
                <c:pt idx="2103">
                  <c:v>274400</c:v>
                </c:pt>
                <c:pt idx="2104">
                  <c:v>274700</c:v>
                </c:pt>
                <c:pt idx="2105">
                  <c:v>274800</c:v>
                </c:pt>
                <c:pt idx="2106">
                  <c:v>274800</c:v>
                </c:pt>
                <c:pt idx="2107">
                  <c:v>274900</c:v>
                </c:pt>
                <c:pt idx="2108">
                  <c:v>274955</c:v>
                </c:pt>
                <c:pt idx="2109">
                  <c:v>275000</c:v>
                </c:pt>
                <c:pt idx="2110">
                  <c:v>275000</c:v>
                </c:pt>
                <c:pt idx="2111">
                  <c:v>275300</c:v>
                </c:pt>
                <c:pt idx="2112">
                  <c:v>275900</c:v>
                </c:pt>
                <c:pt idx="2113">
                  <c:v>275900</c:v>
                </c:pt>
                <c:pt idx="2114">
                  <c:v>275900</c:v>
                </c:pt>
                <c:pt idx="2115">
                  <c:v>276200</c:v>
                </c:pt>
                <c:pt idx="2116">
                  <c:v>276300</c:v>
                </c:pt>
                <c:pt idx="2117">
                  <c:v>276400</c:v>
                </c:pt>
                <c:pt idx="2118">
                  <c:v>276400</c:v>
                </c:pt>
                <c:pt idx="2119">
                  <c:v>276600</c:v>
                </c:pt>
                <c:pt idx="2120">
                  <c:v>276700</c:v>
                </c:pt>
                <c:pt idx="2121">
                  <c:v>276800</c:v>
                </c:pt>
                <c:pt idx="2122">
                  <c:v>276900</c:v>
                </c:pt>
                <c:pt idx="2123">
                  <c:v>276900</c:v>
                </c:pt>
                <c:pt idx="2124">
                  <c:v>277000</c:v>
                </c:pt>
                <c:pt idx="2125">
                  <c:v>277669</c:v>
                </c:pt>
                <c:pt idx="2126">
                  <c:v>277900</c:v>
                </c:pt>
                <c:pt idx="2127">
                  <c:v>278200</c:v>
                </c:pt>
                <c:pt idx="2128">
                  <c:v>278400</c:v>
                </c:pt>
                <c:pt idx="2129">
                  <c:v>278700</c:v>
                </c:pt>
                <c:pt idx="2130">
                  <c:v>279000</c:v>
                </c:pt>
                <c:pt idx="2131">
                  <c:v>279100</c:v>
                </c:pt>
                <c:pt idx="2132">
                  <c:v>279200</c:v>
                </c:pt>
                <c:pt idx="2133">
                  <c:v>279300</c:v>
                </c:pt>
                <c:pt idx="2134">
                  <c:v>279700</c:v>
                </c:pt>
                <c:pt idx="2135">
                  <c:v>279800</c:v>
                </c:pt>
                <c:pt idx="2136">
                  <c:v>280000</c:v>
                </c:pt>
                <c:pt idx="2137">
                  <c:v>280100</c:v>
                </c:pt>
                <c:pt idx="2138">
                  <c:v>280107</c:v>
                </c:pt>
                <c:pt idx="2139">
                  <c:v>280200</c:v>
                </c:pt>
                <c:pt idx="2140">
                  <c:v>280300</c:v>
                </c:pt>
                <c:pt idx="2141">
                  <c:v>280400</c:v>
                </c:pt>
                <c:pt idx="2142">
                  <c:v>280400</c:v>
                </c:pt>
                <c:pt idx="2143">
                  <c:v>280500</c:v>
                </c:pt>
                <c:pt idx="2144">
                  <c:v>280600</c:v>
                </c:pt>
                <c:pt idx="2145">
                  <c:v>280600</c:v>
                </c:pt>
                <c:pt idx="2146">
                  <c:v>280700</c:v>
                </c:pt>
                <c:pt idx="2147">
                  <c:v>280700</c:v>
                </c:pt>
                <c:pt idx="2148">
                  <c:v>281000</c:v>
                </c:pt>
                <c:pt idx="2149">
                  <c:v>281800</c:v>
                </c:pt>
                <c:pt idx="2150">
                  <c:v>281800</c:v>
                </c:pt>
                <c:pt idx="2151">
                  <c:v>281800</c:v>
                </c:pt>
                <c:pt idx="2152">
                  <c:v>282000</c:v>
                </c:pt>
                <c:pt idx="2153">
                  <c:v>282300</c:v>
                </c:pt>
                <c:pt idx="2154">
                  <c:v>282400</c:v>
                </c:pt>
                <c:pt idx="2155">
                  <c:v>282500</c:v>
                </c:pt>
                <c:pt idx="2156">
                  <c:v>282700</c:v>
                </c:pt>
                <c:pt idx="2157">
                  <c:v>282800</c:v>
                </c:pt>
                <c:pt idx="2158">
                  <c:v>282900</c:v>
                </c:pt>
                <c:pt idx="2159">
                  <c:v>282900</c:v>
                </c:pt>
                <c:pt idx="2160">
                  <c:v>283100</c:v>
                </c:pt>
                <c:pt idx="2161">
                  <c:v>283200</c:v>
                </c:pt>
                <c:pt idx="2162">
                  <c:v>283300</c:v>
                </c:pt>
                <c:pt idx="2163">
                  <c:v>283400</c:v>
                </c:pt>
                <c:pt idx="2164">
                  <c:v>283500</c:v>
                </c:pt>
                <c:pt idx="2165">
                  <c:v>284000</c:v>
                </c:pt>
                <c:pt idx="2166">
                  <c:v>284100</c:v>
                </c:pt>
                <c:pt idx="2167">
                  <c:v>284168</c:v>
                </c:pt>
                <c:pt idx="2168">
                  <c:v>284300</c:v>
                </c:pt>
                <c:pt idx="2169">
                  <c:v>284400</c:v>
                </c:pt>
                <c:pt idx="2170">
                  <c:v>284500</c:v>
                </c:pt>
                <c:pt idx="2171">
                  <c:v>284600</c:v>
                </c:pt>
                <c:pt idx="2172">
                  <c:v>284800</c:v>
                </c:pt>
                <c:pt idx="2173">
                  <c:v>284900</c:v>
                </c:pt>
                <c:pt idx="2174">
                  <c:v>285100</c:v>
                </c:pt>
                <c:pt idx="2175">
                  <c:v>285100</c:v>
                </c:pt>
                <c:pt idx="2176">
                  <c:v>285200</c:v>
                </c:pt>
                <c:pt idx="2177">
                  <c:v>285200</c:v>
                </c:pt>
                <c:pt idx="2178">
                  <c:v>285500</c:v>
                </c:pt>
                <c:pt idx="2179">
                  <c:v>285600</c:v>
                </c:pt>
                <c:pt idx="2180">
                  <c:v>285800</c:v>
                </c:pt>
                <c:pt idx="2181">
                  <c:v>285900</c:v>
                </c:pt>
                <c:pt idx="2182">
                  <c:v>286100</c:v>
                </c:pt>
                <c:pt idx="2183">
                  <c:v>286300</c:v>
                </c:pt>
                <c:pt idx="2184">
                  <c:v>286400</c:v>
                </c:pt>
                <c:pt idx="2185">
                  <c:v>286500</c:v>
                </c:pt>
                <c:pt idx="2186">
                  <c:v>286500</c:v>
                </c:pt>
                <c:pt idx="2187">
                  <c:v>286500</c:v>
                </c:pt>
                <c:pt idx="2188">
                  <c:v>286700</c:v>
                </c:pt>
                <c:pt idx="2189">
                  <c:v>287000</c:v>
                </c:pt>
                <c:pt idx="2190">
                  <c:v>287300</c:v>
                </c:pt>
                <c:pt idx="2191">
                  <c:v>287300</c:v>
                </c:pt>
                <c:pt idx="2192">
                  <c:v>287600</c:v>
                </c:pt>
                <c:pt idx="2193">
                  <c:v>287600</c:v>
                </c:pt>
                <c:pt idx="2194">
                  <c:v>287900</c:v>
                </c:pt>
                <c:pt idx="2195">
                  <c:v>288100</c:v>
                </c:pt>
                <c:pt idx="2196">
                  <c:v>288100</c:v>
                </c:pt>
                <c:pt idx="2197">
                  <c:v>288200</c:v>
                </c:pt>
                <c:pt idx="2198">
                  <c:v>288300</c:v>
                </c:pt>
                <c:pt idx="2199">
                  <c:v>288440</c:v>
                </c:pt>
                <c:pt idx="2200">
                  <c:v>288600</c:v>
                </c:pt>
                <c:pt idx="2201">
                  <c:v>288600</c:v>
                </c:pt>
                <c:pt idx="2202">
                  <c:v>288900</c:v>
                </c:pt>
                <c:pt idx="2203">
                  <c:v>288900</c:v>
                </c:pt>
                <c:pt idx="2204">
                  <c:v>289000</c:v>
                </c:pt>
                <c:pt idx="2205">
                  <c:v>289100</c:v>
                </c:pt>
                <c:pt idx="2206">
                  <c:v>289100</c:v>
                </c:pt>
                <c:pt idx="2207">
                  <c:v>290000</c:v>
                </c:pt>
                <c:pt idx="2208">
                  <c:v>290000</c:v>
                </c:pt>
                <c:pt idx="2209">
                  <c:v>290000</c:v>
                </c:pt>
                <c:pt idx="2210">
                  <c:v>290200</c:v>
                </c:pt>
                <c:pt idx="2211">
                  <c:v>290200</c:v>
                </c:pt>
                <c:pt idx="2212">
                  <c:v>290400</c:v>
                </c:pt>
                <c:pt idx="2213">
                  <c:v>290600</c:v>
                </c:pt>
                <c:pt idx="2214">
                  <c:v>290600</c:v>
                </c:pt>
                <c:pt idx="2215">
                  <c:v>290602</c:v>
                </c:pt>
                <c:pt idx="2216">
                  <c:v>290700</c:v>
                </c:pt>
                <c:pt idx="2217">
                  <c:v>290900</c:v>
                </c:pt>
                <c:pt idx="2218">
                  <c:v>291100</c:v>
                </c:pt>
                <c:pt idx="2219">
                  <c:v>291300</c:v>
                </c:pt>
                <c:pt idx="2220">
                  <c:v>292200</c:v>
                </c:pt>
                <c:pt idx="2221">
                  <c:v>292300</c:v>
                </c:pt>
                <c:pt idx="2222">
                  <c:v>292400</c:v>
                </c:pt>
                <c:pt idx="2223">
                  <c:v>292400</c:v>
                </c:pt>
                <c:pt idx="2224">
                  <c:v>292500</c:v>
                </c:pt>
                <c:pt idx="2225">
                  <c:v>292600</c:v>
                </c:pt>
                <c:pt idx="2226">
                  <c:v>292600</c:v>
                </c:pt>
                <c:pt idx="2227">
                  <c:v>292800</c:v>
                </c:pt>
                <c:pt idx="2228">
                  <c:v>293100</c:v>
                </c:pt>
                <c:pt idx="2229">
                  <c:v>293200</c:v>
                </c:pt>
                <c:pt idx="2230">
                  <c:v>293200</c:v>
                </c:pt>
                <c:pt idx="2231">
                  <c:v>293300</c:v>
                </c:pt>
                <c:pt idx="2232">
                  <c:v>293600</c:v>
                </c:pt>
                <c:pt idx="2233">
                  <c:v>293600</c:v>
                </c:pt>
                <c:pt idx="2234">
                  <c:v>294200</c:v>
                </c:pt>
                <c:pt idx="2235">
                  <c:v>294300</c:v>
                </c:pt>
                <c:pt idx="2236">
                  <c:v>294300</c:v>
                </c:pt>
                <c:pt idx="2237">
                  <c:v>294900</c:v>
                </c:pt>
                <c:pt idx="2238">
                  <c:v>294900</c:v>
                </c:pt>
                <c:pt idx="2239">
                  <c:v>295100</c:v>
                </c:pt>
                <c:pt idx="2240">
                  <c:v>295200</c:v>
                </c:pt>
                <c:pt idx="2241">
                  <c:v>295400</c:v>
                </c:pt>
                <c:pt idx="2242">
                  <c:v>295500</c:v>
                </c:pt>
                <c:pt idx="2243">
                  <c:v>295700</c:v>
                </c:pt>
                <c:pt idx="2244">
                  <c:v>295900</c:v>
                </c:pt>
                <c:pt idx="2245">
                  <c:v>296100</c:v>
                </c:pt>
                <c:pt idx="2246">
                  <c:v>296200</c:v>
                </c:pt>
                <c:pt idx="2247">
                  <c:v>296300</c:v>
                </c:pt>
                <c:pt idx="2248">
                  <c:v>296300</c:v>
                </c:pt>
                <c:pt idx="2249">
                  <c:v>296500</c:v>
                </c:pt>
                <c:pt idx="2250">
                  <c:v>296500</c:v>
                </c:pt>
                <c:pt idx="2251">
                  <c:v>296700</c:v>
                </c:pt>
                <c:pt idx="2252">
                  <c:v>296800</c:v>
                </c:pt>
                <c:pt idx="2253">
                  <c:v>296900</c:v>
                </c:pt>
                <c:pt idx="2254">
                  <c:v>297000</c:v>
                </c:pt>
                <c:pt idx="2255">
                  <c:v>297400</c:v>
                </c:pt>
                <c:pt idx="2256">
                  <c:v>297500</c:v>
                </c:pt>
                <c:pt idx="2257">
                  <c:v>297700</c:v>
                </c:pt>
                <c:pt idx="2258">
                  <c:v>297700</c:v>
                </c:pt>
                <c:pt idx="2259">
                  <c:v>297800</c:v>
                </c:pt>
                <c:pt idx="2260">
                  <c:v>297900</c:v>
                </c:pt>
                <c:pt idx="2261">
                  <c:v>298600</c:v>
                </c:pt>
                <c:pt idx="2262">
                  <c:v>298900</c:v>
                </c:pt>
                <c:pt idx="2263">
                  <c:v>299200</c:v>
                </c:pt>
                <c:pt idx="2264">
                  <c:v>299300</c:v>
                </c:pt>
                <c:pt idx="2265">
                  <c:v>299700</c:v>
                </c:pt>
                <c:pt idx="2266">
                  <c:v>300000</c:v>
                </c:pt>
                <c:pt idx="2267">
                  <c:v>300100</c:v>
                </c:pt>
                <c:pt idx="2268">
                  <c:v>300400</c:v>
                </c:pt>
                <c:pt idx="2269">
                  <c:v>300600</c:v>
                </c:pt>
                <c:pt idx="2270">
                  <c:v>300800</c:v>
                </c:pt>
                <c:pt idx="2271">
                  <c:v>300900</c:v>
                </c:pt>
                <c:pt idx="2272">
                  <c:v>301000</c:v>
                </c:pt>
                <c:pt idx="2273">
                  <c:v>301200</c:v>
                </c:pt>
                <c:pt idx="2274">
                  <c:v>301300</c:v>
                </c:pt>
                <c:pt idx="2275">
                  <c:v>301300</c:v>
                </c:pt>
                <c:pt idx="2276">
                  <c:v>301500</c:v>
                </c:pt>
                <c:pt idx="2277">
                  <c:v>301500</c:v>
                </c:pt>
                <c:pt idx="2278">
                  <c:v>301700</c:v>
                </c:pt>
                <c:pt idx="2279">
                  <c:v>301700</c:v>
                </c:pt>
                <c:pt idx="2280">
                  <c:v>301900</c:v>
                </c:pt>
                <c:pt idx="2281">
                  <c:v>301900</c:v>
                </c:pt>
                <c:pt idx="2282">
                  <c:v>302200</c:v>
                </c:pt>
                <c:pt idx="2283">
                  <c:v>302200</c:v>
                </c:pt>
                <c:pt idx="2284">
                  <c:v>302800</c:v>
                </c:pt>
                <c:pt idx="2285">
                  <c:v>303200</c:v>
                </c:pt>
                <c:pt idx="2286">
                  <c:v>303200</c:v>
                </c:pt>
                <c:pt idx="2287">
                  <c:v>303300</c:v>
                </c:pt>
                <c:pt idx="2288">
                  <c:v>303400</c:v>
                </c:pt>
                <c:pt idx="2289">
                  <c:v>303400</c:v>
                </c:pt>
                <c:pt idx="2290">
                  <c:v>303500</c:v>
                </c:pt>
                <c:pt idx="2291">
                  <c:v>303600</c:v>
                </c:pt>
                <c:pt idx="2292">
                  <c:v>303700</c:v>
                </c:pt>
                <c:pt idx="2293">
                  <c:v>304000</c:v>
                </c:pt>
                <c:pt idx="2294">
                  <c:v>304200</c:v>
                </c:pt>
                <c:pt idx="2295">
                  <c:v>304200</c:v>
                </c:pt>
                <c:pt idx="2296">
                  <c:v>304400</c:v>
                </c:pt>
                <c:pt idx="2297">
                  <c:v>304400</c:v>
                </c:pt>
                <c:pt idx="2298">
                  <c:v>304400</c:v>
                </c:pt>
                <c:pt idx="2299">
                  <c:v>304450</c:v>
                </c:pt>
                <c:pt idx="2300">
                  <c:v>304600</c:v>
                </c:pt>
                <c:pt idx="2301">
                  <c:v>304900</c:v>
                </c:pt>
                <c:pt idx="2302">
                  <c:v>305000</c:v>
                </c:pt>
                <c:pt idx="2303">
                  <c:v>305100</c:v>
                </c:pt>
                <c:pt idx="2304">
                  <c:v>305400</c:v>
                </c:pt>
                <c:pt idx="2305">
                  <c:v>305600</c:v>
                </c:pt>
                <c:pt idx="2306">
                  <c:v>305700</c:v>
                </c:pt>
                <c:pt idx="2307">
                  <c:v>305700</c:v>
                </c:pt>
                <c:pt idx="2308">
                  <c:v>306600</c:v>
                </c:pt>
                <c:pt idx="2309">
                  <c:v>306700</c:v>
                </c:pt>
                <c:pt idx="2310">
                  <c:v>306900</c:v>
                </c:pt>
                <c:pt idx="2311">
                  <c:v>307000</c:v>
                </c:pt>
                <c:pt idx="2312">
                  <c:v>307400</c:v>
                </c:pt>
                <c:pt idx="2313">
                  <c:v>307500</c:v>
                </c:pt>
                <c:pt idx="2314">
                  <c:v>307600</c:v>
                </c:pt>
                <c:pt idx="2315">
                  <c:v>307800</c:v>
                </c:pt>
                <c:pt idx="2316">
                  <c:v>308000</c:v>
                </c:pt>
                <c:pt idx="2317">
                  <c:v>308200</c:v>
                </c:pt>
                <c:pt idx="2318">
                  <c:v>308500</c:v>
                </c:pt>
                <c:pt idx="2319">
                  <c:v>309200</c:v>
                </c:pt>
                <c:pt idx="2320">
                  <c:v>309300</c:v>
                </c:pt>
                <c:pt idx="2321">
                  <c:v>309800</c:v>
                </c:pt>
                <c:pt idx="2322">
                  <c:v>309800</c:v>
                </c:pt>
                <c:pt idx="2323">
                  <c:v>310100</c:v>
                </c:pt>
                <c:pt idx="2324">
                  <c:v>310500</c:v>
                </c:pt>
                <c:pt idx="2325">
                  <c:v>310500</c:v>
                </c:pt>
                <c:pt idx="2326">
                  <c:v>310500</c:v>
                </c:pt>
                <c:pt idx="2327">
                  <c:v>310500</c:v>
                </c:pt>
                <c:pt idx="2328">
                  <c:v>310600</c:v>
                </c:pt>
                <c:pt idx="2329">
                  <c:v>310800</c:v>
                </c:pt>
                <c:pt idx="2330">
                  <c:v>311100</c:v>
                </c:pt>
                <c:pt idx="2331">
                  <c:v>311400</c:v>
                </c:pt>
                <c:pt idx="2332">
                  <c:v>311600</c:v>
                </c:pt>
                <c:pt idx="2333">
                  <c:v>311600</c:v>
                </c:pt>
                <c:pt idx="2334">
                  <c:v>311600</c:v>
                </c:pt>
                <c:pt idx="2335">
                  <c:v>311700</c:v>
                </c:pt>
                <c:pt idx="2336">
                  <c:v>311900</c:v>
                </c:pt>
                <c:pt idx="2337">
                  <c:v>312000</c:v>
                </c:pt>
                <c:pt idx="2338">
                  <c:v>312800</c:v>
                </c:pt>
                <c:pt idx="2339">
                  <c:v>313000</c:v>
                </c:pt>
                <c:pt idx="2340">
                  <c:v>313100</c:v>
                </c:pt>
                <c:pt idx="2341">
                  <c:v>313100</c:v>
                </c:pt>
                <c:pt idx="2342">
                  <c:v>313600</c:v>
                </c:pt>
                <c:pt idx="2343">
                  <c:v>313900</c:v>
                </c:pt>
                <c:pt idx="2344">
                  <c:v>313950</c:v>
                </c:pt>
                <c:pt idx="2345">
                  <c:v>314200</c:v>
                </c:pt>
                <c:pt idx="2346">
                  <c:v>314400</c:v>
                </c:pt>
                <c:pt idx="2347">
                  <c:v>314600</c:v>
                </c:pt>
                <c:pt idx="2348">
                  <c:v>314800</c:v>
                </c:pt>
                <c:pt idx="2349">
                  <c:v>315300</c:v>
                </c:pt>
                <c:pt idx="2350">
                  <c:v>315458</c:v>
                </c:pt>
                <c:pt idx="2351">
                  <c:v>315600</c:v>
                </c:pt>
                <c:pt idx="2352">
                  <c:v>315600</c:v>
                </c:pt>
                <c:pt idx="2353">
                  <c:v>315800</c:v>
                </c:pt>
                <c:pt idx="2354">
                  <c:v>315900</c:v>
                </c:pt>
                <c:pt idx="2355">
                  <c:v>316200</c:v>
                </c:pt>
                <c:pt idx="2356">
                  <c:v>316200</c:v>
                </c:pt>
                <c:pt idx="2357">
                  <c:v>316200</c:v>
                </c:pt>
                <c:pt idx="2358">
                  <c:v>316400</c:v>
                </c:pt>
                <c:pt idx="2359">
                  <c:v>316700</c:v>
                </c:pt>
                <c:pt idx="2360">
                  <c:v>316900</c:v>
                </c:pt>
                <c:pt idx="2361">
                  <c:v>317000</c:v>
                </c:pt>
                <c:pt idx="2362">
                  <c:v>317000</c:v>
                </c:pt>
                <c:pt idx="2363">
                  <c:v>317200</c:v>
                </c:pt>
                <c:pt idx="2364">
                  <c:v>317200</c:v>
                </c:pt>
                <c:pt idx="2365">
                  <c:v>317300</c:v>
                </c:pt>
                <c:pt idx="2366">
                  <c:v>317500</c:v>
                </c:pt>
                <c:pt idx="2367">
                  <c:v>317500</c:v>
                </c:pt>
                <c:pt idx="2368">
                  <c:v>317900</c:v>
                </c:pt>
                <c:pt idx="2369">
                  <c:v>318400</c:v>
                </c:pt>
                <c:pt idx="2370">
                  <c:v>318500</c:v>
                </c:pt>
                <c:pt idx="2371">
                  <c:v>318500</c:v>
                </c:pt>
                <c:pt idx="2372">
                  <c:v>318700</c:v>
                </c:pt>
                <c:pt idx="2373">
                  <c:v>319300</c:v>
                </c:pt>
                <c:pt idx="2374">
                  <c:v>319607</c:v>
                </c:pt>
                <c:pt idx="2375">
                  <c:v>319700</c:v>
                </c:pt>
                <c:pt idx="2376">
                  <c:v>319800</c:v>
                </c:pt>
                <c:pt idx="2377">
                  <c:v>320400</c:v>
                </c:pt>
                <c:pt idx="2378">
                  <c:v>320800</c:v>
                </c:pt>
                <c:pt idx="2379">
                  <c:v>320900</c:v>
                </c:pt>
                <c:pt idx="2380">
                  <c:v>321200</c:v>
                </c:pt>
                <c:pt idx="2381">
                  <c:v>321200</c:v>
                </c:pt>
                <c:pt idx="2382">
                  <c:v>321200</c:v>
                </c:pt>
                <c:pt idx="2383">
                  <c:v>321600</c:v>
                </c:pt>
                <c:pt idx="2384">
                  <c:v>322400</c:v>
                </c:pt>
                <c:pt idx="2385">
                  <c:v>322400</c:v>
                </c:pt>
                <c:pt idx="2386">
                  <c:v>322500</c:v>
                </c:pt>
                <c:pt idx="2387">
                  <c:v>322800</c:v>
                </c:pt>
                <c:pt idx="2388">
                  <c:v>322800</c:v>
                </c:pt>
                <c:pt idx="2389">
                  <c:v>323900</c:v>
                </c:pt>
                <c:pt idx="2390">
                  <c:v>323900</c:v>
                </c:pt>
                <c:pt idx="2391">
                  <c:v>324000</c:v>
                </c:pt>
                <c:pt idx="2392">
                  <c:v>324200</c:v>
                </c:pt>
                <c:pt idx="2393">
                  <c:v>324200</c:v>
                </c:pt>
                <c:pt idx="2394">
                  <c:v>324900</c:v>
                </c:pt>
                <c:pt idx="2395">
                  <c:v>325000</c:v>
                </c:pt>
                <c:pt idx="2396">
                  <c:v>325300</c:v>
                </c:pt>
                <c:pt idx="2397">
                  <c:v>325400</c:v>
                </c:pt>
                <c:pt idx="2398">
                  <c:v>325500</c:v>
                </c:pt>
                <c:pt idx="2399">
                  <c:v>325600</c:v>
                </c:pt>
                <c:pt idx="2400">
                  <c:v>326400</c:v>
                </c:pt>
                <c:pt idx="2401">
                  <c:v>326500</c:v>
                </c:pt>
                <c:pt idx="2402">
                  <c:v>326600</c:v>
                </c:pt>
                <c:pt idx="2403">
                  <c:v>326800</c:v>
                </c:pt>
                <c:pt idx="2404">
                  <c:v>327100</c:v>
                </c:pt>
                <c:pt idx="2405">
                  <c:v>327300</c:v>
                </c:pt>
                <c:pt idx="2406">
                  <c:v>327500</c:v>
                </c:pt>
                <c:pt idx="2407">
                  <c:v>328000</c:v>
                </c:pt>
                <c:pt idx="2408">
                  <c:v>328500</c:v>
                </c:pt>
                <c:pt idx="2409">
                  <c:v>328500</c:v>
                </c:pt>
                <c:pt idx="2410">
                  <c:v>328900</c:v>
                </c:pt>
                <c:pt idx="2411">
                  <c:v>328900</c:v>
                </c:pt>
                <c:pt idx="2412">
                  <c:v>329400</c:v>
                </c:pt>
                <c:pt idx="2413">
                  <c:v>329600</c:v>
                </c:pt>
                <c:pt idx="2414">
                  <c:v>329800</c:v>
                </c:pt>
                <c:pt idx="2415">
                  <c:v>330200</c:v>
                </c:pt>
                <c:pt idx="2416">
                  <c:v>331100</c:v>
                </c:pt>
                <c:pt idx="2417">
                  <c:v>331100</c:v>
                </c:pt>
                <c:pt idx="2418">
                  <c:v>331300</c:v>
                </c:pt>
                <c:pt idx="2419">
                  <c:v>331400</c:v>
                </c:pt>
                <c:pt idx="2420">
                  <c:v>331500</c:v>
                </c:pt>
                <c:pt idx="2421">
                  <c:v>331700</c:v>
                </c:pt>
                <c:pt idx="2422">
                  <c:v>332300</c:v>
                </c:pt>
                <c:pt idx="2423">
                  <c:v>332500</c:v>
                </c:pt>
                <c:pt idx="2424">
                  <c:v>332590</c:v>
                </c:pt>
                <c:pt idx="2425">
                  <c:v>332900</c:v>
                </c:pt>
                <c:pt idx="2426">
                  <c:v>333000</c:v>
                </c:pt>
                <c:pt idx="2427">
                  <c:v>333300</c:v>
                </c:pt>
                <c:pt idx="2428">
                  <c:v>333400</c:v>
                </c:pt>
                <c:pt idx="2429">
                  <c:v>333800</c:v>
                </c:pt>
                <c:pt idx="2430">
                  <c:v>333900</c:v>
                </c:pt>
                <c:pt idx="2431">
                  <c:v>334000</c:v>
                </c:pt>
                <c:pt idx="2432">
                  <c:v>334500</c:v>
                </c:pt>
                <c:pt idx="2433">
                  <c:v>334700</c:v>
                </c:pt>
                <c:pt idx="2434">
                  <c:v>334700</c:v>
                </c:pt>
                <c:pt idx="2435">
                  <c:v>334900</c:v>
                </c:pt>
                <c:pt idx="2436">
                  <c:v>335400</c:v>
                </c:pt>
                <c:pt idx="2437">
                  <c:v>335900</c:v>
                </c:pt>
                <c:pt idx="2438">
                  <c:v>335900</c:v>
                </c:pt>
                <c:pt idx="2439">
                  <c:v>337000</c:v>
                </c:pt>
                <c:pt idx="2440">
                  <c:v>337200</c:v>
                </c:pt>
                <c:pt idx="2441">
                  <c:v>337300</c:v>
                </c:pt>
                <c:pt idx="2442">
                  <c:v>337600</c:v>
                </c:pt>
                <c:pt idx="2443">
                  <c:v>337700</c:v>
                </c:pt>
                <c:pt idx="2444">
                  <c:v>338041</c:v>
                </c:pt>
                <c:pt idx="2445">
                  <c:v>338495</c:v>
                </c:pt>
                <c:pt idx="2446">
                  <c:v>339400</c:v>
                </c:pt>
                <c:pt idx="2447">
                  <c:v>340500</c:v>
                </c:pt>
                <c:pt idx="2448">
                  <c:v>340900</c:v>
                </c:pt>
                <c:pt idx="2449">
                  <c:v>340900</c:v>
                </c:pt>
                <c:pt idx="2450">
                  <c:v>341400</c:v>
                </c:pt>
                <c:pt idx="2451">
                  <c:v>342700</c:v>
                </c:pt>
                <c:pt idx="2452">
                  <c:v>343100</c:v>
                </c:pt>
                <c:pt idx="2453">
                  <c:v>344000</c:v>
                </c:pt>
                <c:pt idx="2454">
                  <c:v>344200</c:v>
                </c:pt>
                <c:pt idx="2455">
                  <c:v>344500</c:v>
                </c:pt>
                <c:pt idx="2456">
                  <c:v>344600</c:v>
                </c:pt>
                <c:pt idx="2457">
                  <c:v>344900</c:v>
                </c:pt>
                <c:pt idx="2458">
                  <c:v>345000</c:v>
                </c:pt>
                <c:pt idx="2459">
                  <c:v>345200</c:v>
                </c:pt>
                <c:pt idx="2460">
                  <c:v>345200</c:v>
                </c:pt>
                <c:pt idx="2461">
                  <c:v>345248</c:v>
                </c:pt>
                <c:pt idx="2462">
                  <c:v>345400</c:v>
                </c:pt>
                <c:pt idx="2463">
                  <c:v>345800</c:v>
                </c:pt>
                <c:pt idx="2464">
                  <c:v>346400</c:v>
                </c:pt>
                <c:pt idx="2465">
                  <c:v>346600</c:v>
                </c:pt>
                <c:pt idx="2466">
                  <c:v>346800</c:v>
                </c:pt>
                <c:pt idx="2467">
                  <c:v>347400</c:v>
                </c:pt>
                <c:pt idx="2468">
                  <c:v>348500</c:v>
                </c:pt>
                <c:pt idx="2469">
                  <c:v>349000</c:v>
                </c:pt>
                <c:pt idx="2470">
                  <c:v>349200</c:v>
                </c:pt>
                <c:pt idx="2471">
                  <c:v>349500</c:v>
                </c:pt>
                <c:pt idx="2472">
                  <c:v>349600</c:v>
                </c:pt>
                <c:pt idx="2473">
                  <c:v>349600</c:v>
                </c:pt>
                <c:pt idx="2474">
                  <c:v>349700</c:v>
                </c:pt>
                <c:pt idx="2475">
                  <c:v>349900</c:v>
                </c:pt>
                <c:pt idx="2476">
                  <c:v>350000</c:v>
                </c:pt>
                <c:pt idx="2477">
                  <c:v>350400</c:v>
                </c:pt>
                <c:pt idx="2478">
                  <c:v>350900</c:v>
                </c:pt>
                <c:pt idx="2479">
                  <c:v>351100</c:v>
                </c:pt>
                <c:pt idx="2480">
                  <c:v>351200</c:v>
                </c:pt>
                <c:pt idx="2481">
                  <c:v>351400</c:v>
                </c:pt>
                <c:pt idx="2482">
                  <c:v>351431</c:v>
                </c:pt>
                <c:pt idx="2483">
                  <c:v>352000</c:v>
                </c:pt>
                <c:pt idx="2484">
                  <c:v>352200</c:v>
                </c:pt>
                <c:pt idx="2485">
                  <c:v>353100</c:v>
                </c:pt>
                <c:pt idx="2486">
                  <c:v>353400</c:v>
                </c:pt>
                <c:pt idx="2487">
                  <c:v>353600</c:v>
                </c:pt>
                <c:pt idx="2488">
                  <c:v>354200</c:v>
                </c:pt>
                <c:pt idx="2489">
                  <c:v>354300</c:v>
                </c:pt>
                <c:pt idx="2490">
                  <c:v>354300</c:v>
                </c:pt>
                <c:pt idx="2491">
                  <c:v>354400</c:v>
                </c:pt>
                <c:pt idx="2492">
                  <c:v>354800</c:v>
                </c:pt>
                <c:pt idx="2493">
                  <c:v>355000</c:v>
                </c:pt>
                <c:pt idx="2494">
                  <c:v>355300</c:v>
                </c:pt>
                <c:pt idx="2495">
                  <c:v>355700</c:v>
                </c:pt>
                <c:pt idx="2496">
                  <c:v>356100</c:v>
                </c:pt>
                <c:pt idx="2497">
                  <c:v>356100</c:v>
                </c:pt>
                <c:pt idx="2498">
                  <c:v>356600</c:v>
                </c:pt>
                <c:pt idx="2499">
                  <c:v>357300</c:v>
                </c:pt>
                <c:pt idx="2500">
                  <c:v>357400</c:v>
                </c:pt>
                <c:pt idx="2501">
                  <c:v>357600</c:v>
                </c:pt>
                <c:pt idx="2502">
                  <c:v>357600</c:v>
                </c:pt>
                <c:pt idx="2503">
                  <c:v>357600</c:v>
                </c:pt>
                <c:pt idx="2504">
                  <c:v>358700</c:v>
                </c:pt>
                <c:pt idx="2505">
                  <c:v>359300</c:v>
                </c:pt>
                <c:pt idx="2506">
                  <c:v>359400</c:v>
                </c:pt>
                <c:pt idx="2507">
                  <c:v>360500</c:v>
                </c:pt>
                <c:pt idx="2508">
                  <c:v>360500</c:v>
                </c:pt>
                <c:pt idx="2509">
                  <c:v>360500</c:v>
                </c:pt>
                <c:pt idx="2510">
                  <c:v>361000</c:v>
                </c:pt>
                <c:pt idx="2511">
                  <c:v>361500</c:v>
                </c:pt>
                <c:pt idx="2512">
                  <c:v>361600</c:v>
                </c:pt>
                <c:pt idx="2513">
                  <c:v>362100</c:v>
                </c:pt>
                <c:pt idx="2514">
                  <c:v>362200</c:v>
                </c:pt>
                <c:pt idx="2515">
                  <c:v>363100</c:v>
                </c:pt>
                <c:pt idx="2516">
                  <c:v>363200</c:v>
                </c:pt>
                <c:pt idx="2517">
                  <c:v>363300</c:v>
                </c:pt>
                <c:pt idx="2518">
                  <c:v>363800</c:v>
                </c:pt>
                <c:pt idx="2519">
                  <c:v>364000</c:v>
                </c:pt>
                <c:pt idx="2520">
                  <c:v>364400</c:v>
                </c:pt>
                <c:pt idx="2521">
                  <c:v>365300</c:v>
                </c:pt>
                <c:pt idx="2522">
                  <c:v>365300</c:v>
                </c:pt>
                <c:pt idx="2523">
                  <c:v>365300</c:v>
                </c:pt>
                <c:pt idx="2524">
                  <c:v>365300</c:v>
                </c:pt>
                <c:pt idx="2525">
                  <c:v>365353</c:v>
                </c:pt>
                <c:pt idx="2526">
                  <c:v>365600</c:v>
                </c:pt>
                <c:pt idx="2527">
                  <c:v>365900</c:v>
                </c:pt>
                <c:pt idx="2528">
                  <c:v>366400</c:v>
                </c:pt>
                <c:pt idx="2529">
                  <c:v>366900</c:v>
                </c:pt>
                <c:pt idx="2530">
                  <c:v>368300</c:v>
                </c:pt>
                <c:pt idx="2531">
                  <c:v>368300</c:v>
                </c:pt>
                <c:pt idx="2532">
                  <c:v>368800</c:v>
                </c:pt>
                <c:pt idx="2533">
                  <c:v>369100</c:v>
                </c:pt>
                <c:pt idx="2534">
                  <c:v>369300</c:v>
                </c:pt>
                <c:pt idx="2535">
                  <c:v>369500</c:v>
                </c:pt>
                <c:pt idx="2536">
                  <c:v>370400</c:v>
                </c:pt>
                <c:pt idx="2537">
                  <c:v>370500</c:v>
                </c:pt>
                <c:pt idx="2538">
                  <c:v>371300</c:v>
                </c:pt>
                <c:pt idx="2539">
                  <c:v>371600</c:v>
                </c:pt>
                <c:pt idx="2540">
                  <c:v>371700</c:v>
                </c:pt>
                <c:pt idx="2541">
                  <c:v>371700</c:v>
                </c:pt>
                <c:pt idx="2542">
                  <c:v>371800</c:v>
                </c:pt>
                <c:pt idx="2543">
                  <c:v>371800</c:v>
                </c:pt>
                <c:pt idx="2544">
                  <c:v>371838</c:v>
                </c:pt>
                <c:pt idx="2545">
                  <c:v>371900</c:v>
                </c:pt>
                <c:pt idx="2546">
                  <c:v>373600</c:v>
                </c:pt>
                <c:pt idx="2547">
                  <c:v>374600</c:v>
                </c:pt>
                <c:pt idx="2548">
                  <c:v>374700</c:v>
                </c:pt>
                <c:pt idx="2549">
                  <c:v>374800</c:v>
                </c:pt>
                <c:pt idx="2550">
                  <c:v>375000</c:v>
                </c:pt>
                <c:pt idx="2551">
                  <c:v>375600</c:v>
                </c:pt>
                <c:pt idx="2552">
                  <c:v>377300</c:v>
                </c:pt>
                <c:pt idx="2553">
                  <c:v>378000</c:v>
                </c:pt>
                <c:pt idx="2554">
                  <c:v>378100</c:v>
                </c:pt>
                <c:pt idx="2555">
                  <c:v>378800</c:v>
                </c:pt>
                <c:pt idx="2556">
                  <c:v>380400</c:v>
                </c:pt>
                <c:pt idx="2557">
                  <c:v>380900</c:v>
                </c:pt>
                <c:pt idx="2558">
                  <c:v>381000</c:v>
                </c:pt>
                <c:pt idx="2559">
                  <c:v>381800</c:v>
                </c:pt>
                <c:pt idx="2560">
                  <c:v>382500</c:v>
                </c:pt>
                <c:pt idx="2561">
                  <c:v>382700</c:v>
                </c:pt>
                <c:pt idx="2562">
                  <c:v>383700</c:v>
                </c:pt>
                <c:pt idx="2563">
                  <c:v>385200</c:v>
                </c:pt>
                <c:pt idx="2564">
                  <c:v>385500</c:v>
                </c:pt>
                <c:pt idx="2565">
                  <c:v>386300</c:v>
                </c:pt>
                <c:pt idx="2566">
                  <c:v>386400</c:v>
                </c:pt>
                <c:pt idx="2567">
                  <c:v>386700</c:v>
                </c:pt>
                <c:pt idx="2568">
                  <c:v>387100</c:v>
                </c:pt>
                <c:pt idx="2569">
                  <c:v>387600</c:v>
                </c:pt>
                <c:pt idx="2570">
                  <c:v>388100</c:v>
                </c:pt>
                <c:pt idx="2571">
                  <c:v>388300</c:v>
                </c:pt>
                <c:pt idx="2572">
                  <c:v>388400</c:v>
                </c:pt>
                <c:pt idx="2573">
                  <c:v>388700</c:v>
                </c:pt>
                <c:pt idx="2574">
                  <c:v>388900</c:v>
                </c:pt>
                <c:pt idx="2575">
                  <c:v>389200</c:v>
                </c:pt>
                <c:pt idx="2576">
                  <c:v>391900</c:v>
                </c:pt>
                <c:pt idx="2577">
                  <c:v>392000</c:v>
                </c:pt>
                <c:pt idx="2578">
                  <c:v>393500</c:v>
                </c:pt>
                <c:pt idx="2579">
                  <c:v>393700</c:v>
                </c:pt>
                <c:pt idx="2580">
                  <c:v>394100</c:v>
                </c:pt>
                <c:pt idx="2581">
                  <c:v>394400</c:v>
                </c:pt>
                <c:pt idx="2582">
                  <c:v>395000</c:v>
                </c:pt>
                <c:pt idx="2583">
                  <c:v>395300</c:v>
                </c:pt>
                <c:pt idx="2584">
                  <c:v>397800</c:v>
                </c:pt>
                <c:pt idx="2585">
                  <c:v>398300</c:v>
                </c:pt>
                <c:pt idx="2586">
                  <c:v>398500</c:v>
                </c:pt>
                <c:pt idx="2587">
                  <c:v>401300</c:v>
                </c:pt>
                <c:pt idx="2588">
                  <c:v>401500</c:v>
                </c:pt>
                <c:pt idx="2589">
                  <c:v>402400</c:v>
                </c:pt>
                <c:pt idx="2590">
                  <c:v>402900</c:v>
                </c:pt>
                <c:pt idx="2591">
                  <c:v>403700</c:v>
                </c:pt>
                <c:pt idx="2592">
                  <c:v>406700</c:v>
                </c:pt>
                <c:pt idx="2593">
                  <c:v>409800</c:v>
                </c:pt>
                <c:pt idx="2594">
                  <c:v>411300</c:v>
                </c:pt>
                <c:pt idx="2595">
                  <c:v>411902</c:v>
                </c:pt>
                <c:pt idx="2596">
                  <c:v>412400</c:v>
                </c:pt>
                <c:pt idx="2597">
                  <c:v>412700</c:v>
                </c:pt>
                <c:pt idx="2598">
                  <c:v>414600</c:v>
                </c:pt>
                <c:pt idx="2599">
                  <c:v>415100</c:v>
                </c:pt>
                <c:pt idx="2600">
                  <c:v>415400</c:v>
                </c:pt>
                <c:pt idx="2601">
                  <c:v>415500</c:v>
                </c:pt>
                <c:pt idx="2602">
                  <c:v>415600</c:v>
                </c:pt>
                <c:pt idx="2603">
                  <c:v>416600</c:v>
                </c:pt>
                <c:pt idx="2604">
                  <c:v>417100</c:v>
                </c:pt>
                <c:pt idx="2605">
                  <c:v>420400</c:v>
                </c:pt>
                <c:pt idx="2606">
                  <c:v>421400</c:v>
                </c:pt>
                <c:pt idx="2607">
                  <c:v>425100</c:v>
                </c:pt>
                <c:pt idx="2608">
                  <c:v>426100</c:v>
                </c:pt>
                <c:pt idx="2609">
                  <c:v>426300</c:v>
                </c:pt>
                <c:pt idx="2610">
                  <c:v>426400</c:v>
                </c:pt>
                <c:pt idx="2611">
                  <c:v>427100</c:v>
                </c:pt>
                <c:pt idx="2612">
                  <c:v>427200</c:v>
                </c:pt>
                <c:pt idx="2613">
                  <c:v>429500</c:v>
                </c:pt>
                <c:pt idx="2614">
                  <c:v>429500</c:v>
                </c:pt>
                <c:pt idx="2615">
                  <c:v>430400</c:v>
                </c:pt>
                <c:pt idx="2616">
                  <c:v>431831</c:v>
                </c:pt>
                <c:pt idx="2617">
                  <c:v>437300</c:v>
                </c:pt>
                <c:pt idx="2618">
                  <c:v>437400</c:v>
                </c:pt>
                <c:pt idx="2619">
                  <c:v>439900</c:v>
                </c:pt>
                <c:pt idx="2620">
                  <c:v>440200</c:v>
                </c:pt>
                <c:pt idx="2621">
                  <c:v>440700</c:v>
                </c:pt>
                <c:pt idx="2622">
                  <c:v>445700</c:v>
                </c:pt>
                <c:pt idx="2623">
                  <c:v>447100</c:v>
                </c:pt>
                <c:pt idx="2624">
                  <c:v>447300</c:v>
                </c:pt>
                <c:pt idx="2625">
                  <c:v>451300</c:v>
                </c:pt>
                <c:pt idx="2626">
                  <c:v>456000</c:v>
                </c:pt>
                <c:pt idx="2627">
                  <c:v>456000</c:v>
                </c:pt>
                <c:pt idx="2628">
                  <c:v>457500</c:v>
                </c:pt>
                <c:pt idx="2629">
                  <c:v>458800</c:v>
                </c:pt>
                <c:pt idx="2630">
                  <c:v>460400</c:v>
                </c:pt>
                <c:pt idx="2631">
                  <c:v>461200</c:v>
                </c:pt>
                <c:pt idx="2632">
                  <c:v>461900</c:v>
                </c:pt>
                <c:pt idx="2633">
                  <c:v>465294</c:v>
                </c:pt>
                <c:pt idx="2634">
                  <c:v>466600</c:v>
                </c:pt>
                <c:pt idx="2635">
                  <c:v>473753</c:v>
                </c:pt>
                <c:pt idx="2636">
                  <c:v>474500</c:v>
                </c:pt>
                <c:pt idx="2637">
                  <c:v>475900</c:v>
                </c:pt>
                <c:pt idx="2638">
                  <c:v>481600</c:v>
                </c:pt>
                <c:pt idx="2639">
                  <c:v>481700</c:v>
                </c:pt>
                <c:pt idx="2640">
                  <c:v>482700</c:v>
                </c:pt>
                <c:pt idx="2641">
                  <c:v>484800</c:v>
                </c:pt>
                <c:pt idx="2642">
                  <c:v>487800</c:v>
                </c:pt>
                <c:pt idx="2643">
                  <c:v>489000</c:v>
                </c:pt>
                <c:pt idx="2644">
                  <c:v>495900</c:v>
                </c:pt>
                <c:pt idx="2645">
                  <c:v>500366</c:v>
                </c:pt>
                <c:pt idx="2646">
                  <c:v>501500</c:v>
                </c:pt>
                <c:pt idx="2647">
                  <c:v>502500</c:v>
                </c:pt>
                <c:pt idx="2648">
                  <c:v>513100</c:v>
                </c:pt>
                <c:pt idx="2649">
                  <c:v>514800</c:v>
                </c:pt>
                <c:pt idx="2650">
                  <c:v>514900</c:v>
                </c:pt>
                <c:pt idx="2651">
                  <c:v>518900</c:v>
                </c:pt>
                <c:pt idx="2652">
                  <c:v>521500</c:v>
                </c:pt>
                <c:pt idx="2653">
                  <c:v>521800</c:v>
                </c:pt>
                <c:pt idx="2654">
                  <c:v>521900</c:v>
                </c:pt>
                <c:pt idx="2655">
                  <c:v>523200</c:v>
                </c:pt>
                <c:pt idx="2656">
                  <c:v>524500</c:v>
                </c:pt>
                <c:pt idx="2657">
                  <c:v>527500</c:v>
                </c:pt>
                <c:pt idx="2658">
                  <c:v>530000</c:v>
                </c:pt>
                <c:pt idx="2659">
                  <c:v>535600</c:v>
                </c:pt>
                <c:pt idx="2660">
                  <c:v>536100</c:v>
                </c:pt>
                <c:pt idx="2661">
                  <c:v>543600</c:v>
                </c:pt>
                <c:pt idx="2662">
                  <c:v>545000</c:v>
                </c:pt>
                <c:pt idx="2663">
                  <c:v>561300</c:v>
                </c:pt>
                <c:pt idx="2664">
                  <c:v>563300</c:v>
                </c:pt>
                <c:pt idx="2665">
                  <c:v>565100</c:v>
                </c:pt>
                <c:pt idx="2666">
                  <c:v>567900</c:v>
                </c:pt>
                <c:pt idx="2667">
                  <c:v>573900</c:v>
                </c:pt>
                <c:pt idx="2668">
                  <c:v>575470</c:v>
                </c:pt>
                <c:pt idx="2669">
                  <c:v>576374</c:v>
                </c:pt>
                <c:pt idx="2670">
                  <c:v>579000</c:v>
                </c:pt>
                <c:pt idx="2671">
                  <c:v>582800</c:v>
                </c:pt>
                <c:pt idx="2672">
                  <c:v>586400</c:v>
                </c:pt>
                <c:pt idx="2673">
                  <c:v>588000</c:v>
                </c:pt>
                <c:pt idx="2674">
                  <c:v>588500</c:v>
                </c:pt>
                <c:pt idx="2675">
                  <c:v>594400</c:v>
                </c:pt>
                <c:pt idx="2676">
                  <c:v>595200</c:v>
                </c:pt>
                <c:pt idx="2677">
                  <c:v>600000</c:v>
                </c:pt>
                <c:pt idx="2678">
                  <c:v>607900</c:v>
                </c:pt>
                <c:pt idx="2679">
                  <c:v>609700</c:v>
                </c:pt>
                <c:pt idx="2680">
                  <c:v>612300</c:v>
                </c:pt>
                <c:pt idx="2681">
                  <c:v>622800</c:v>
                </c:pt>
                <c:pt idx="2682">
                  <c:v>628538</c:v>
                </c:pt>
                <c:pt idx="2683">
                  <c:v>631500</c:v>
                </c:pt>
                <c:pt idx="2684">
                  <c:v>632200</c:v>
                </c:pt>
                <c:pt idx="2685">
                  <c:v>635100</c:v>
                </c:pt>
                <c:pt idx="2686">
                  <c:v>640000</c:v>
                </c:pt>
                <c:pt idx="2687">
                  <c:v>654200</c:v>
                </c:pt>
                <c:pt idx="2688">
                  <c:v>683900</c:v>
                </c:pt>
                <c:pt idx="2689">
                  <c:v>698500</c:v>
                </c:pt>
                <c:pt idx="2690">
                  <c:v>705300</c:v>
                </c:pt>
                <c:pt idx="2691">
                  <c:v>708900</c:v>
                </c:pt>
                <c:pt idx="2692">
                  <c:v>712700</c:v>
                </c:pt>
                <c:pt idx="2693">
                  <c:v>714530</c:v>
                </c:pt>
                <c:pt idx="2694">
                  <c:v>723600</c:v>
                </c:pt>
                <c:pt idx="2695">
                  <c:v>760900</c:v>
                </c:pt>
                <c:pt idx="2696">
                  <c:v>825300</c:v>
                </c:pt>
                <c:pt idx="2697">
                  <c:v>867550</c:v>
                </c:pt>
                <c:pt idx="2698">
                  <c:v>873500</c:v>
                </c:pt>
                <c:pt idx="2699">
                  <c:v>1066658</c:v>
                </c:pt>
                <c:pt idx="2700">
                  <c:v>1153900</c:v>
                </c:pt>
                <c:pt idx="2701">
                  <c:v>1662700</c:v>
                </c:pt>
                <c:pt idx="2702">
                  <c:v>1693837</c:v>
                </c:pt>
              </c:numCache>
            </c:numRef>
          </c:val>
        </c:ser>
        <c:dLbls>
          <c:showLegendKey val="0"/>
          <c:showVal val="0"/>
          <c:showCatName val="0"/>
          <c:showSerName val="0"/>
          <c:showPercent val="0"/>
          <c:showBubbleSize val="0"/>
        </c:dLbls>
        <c:gapWidth val="150"/>
        <c:axId val="232236928"/>
        <c:axId val="232238464"/>
      </c:barChart>
      <c:catAx>
        <c:axId val="232236928"/>
        <c:scaling>
          <c:orientation val="minMax"/>
        </c:scaling>
        <c:delete val="1"/>
        <c:axPos val="b"/>
        <c:majorTickMark val="out"/>
        <c:minorTickMark val="none"/>
        <c:tickLblPos val="nextTo"/>
        <c:crossAx val="232238464"/>
        <c:crosses val="autoZero"/>
        <c:auto val="1"/>
        <c:lblAlgn val="ctr"/>
        <c:lblOffset val="100"/>
        <c:noMultiLvlLbl val="0"/>
      </c:catAx>
      <c:valAx>
        <c:axId val="232238464"/>
        <c:scaling>
          <c:orientation val="minMax"/>
        </c:scaling>
        <c:delete val="0"/>
        <c:axPos val="l"/>
        <c:numFmt formatCode="&quot;$&quot;#,##0" sourceLinked="1"/>
        <c:majorTickMark val="out"/>
        <c:minorTickMark val="none"/>
        <c:tickLblPos val="nextTo"/>
        <c:crossAx val="232236928"/>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Figure10: Annual Median Purchase Price</a:t>
            </a:r>
          </a:p>
          <a:p>
            <a:pPr>
              <a:defRPr/>
            </a:pPr>
            <a:r>
              <a:rPr lang="en-US" sz="950" b="0"/>
              <a:t>Source: New Hampshire Housing Finance Authority</a:t>
            </a:r>
          </a:p>
        </c:rich>
      </c:tx>
      <c:overlay val="0"/>
    </c:title>
    <c:autoTitleDeleted val="0"/>
    <c:plotArea>
      <c:layout/>
      <c:lineChart>
        <c:grouping val="standard"/>
        <c:varyColors val="0"/>
        <c:ser>
          <c:idx val="0"/>
          <c:order val="0"/>
          <c:tx>
            <c:strRef>
              <c:f>'Purchase Price Trends'!$B$1</c:f>
              <c:strCache>
                <c:ptCount val="1"/>
                <c:pt idx="0">
                  <c:v>Newmarket</c:v>
                </c:pt>
              </c:strCache>
            </c:strRef>
          </c:tx>
          <c:spPr>
            <a:ln>
              <a:solidFill>
                <a:srgbClr val="66FFFF"/>
              </a:solidFill>
            </a:ln>
          </c:spPr>
          <c:marker>
            <c:symbol val="none"/>
          </c:marker>
          <c:cat>
            <c:numRef>
              <c:f>'Purchase Price 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 Price Trends'!$B$2:$B$25</c:f>
              <c:numCache>
                <c:formatCode>"$"#,##0</c:formatCode>
                <c:ptCount val="24"/>
                <c:pt idx="0">
                  <c:v>#N/A</c:v>
                </c:pt>
                <c:pt idx="1">
                  <c:v>84150</c:v>
                </c:pt>
                <c:pt idx="2">
                  <c:v>101524</c:v>
                </c:pt>
                <c:pt idx="3">
                  <c:v>95000</c:v>
                </c:pt>
                <c:pt idx="4">
                  <c:v>99000</c:v>
                </c:pt>
                <c:pt idx="5">
                  <c:v>98300</c:v>
                </c:pt>
                <c:pt idx="6">
                  <c:v>85000</c:v>
                </c:pt>
                <c:pt idx="7">
                  <c:v>103000</c:v>
                </c:pt>
                <c:pt idx="8">
                  <c:v>120900</c:v>
                </c:pt>
                <c:pt idx="9">
                  <c:v>142900</c:v>
                </c:pt>
                <c:pt idx="10">
                  <c:v>165000</c:v>
                </c:pt>
                <c:pt idx="11">
                  <c:v>185000</c:v>
                </c:pt>
                <c:pt idx="12">
                  <c:v>241000</c:v>
                </c:pt>
                <c:pt idx="13">
                  <c:v>235000</c:v>
                </c:pt>
                <c:pt idx="14">
                  <c:v>255000</c:v>
                </c:pt>
                <c:pt idx="15">
                  <c:v>273519</c:v>
                </c:pt>
                <c:pt idx="16">
                  <c:v>270000</c:v>
                </c:pt>
                <c:pt idx="17">
                  <c:v>283000</c:v>
                </c:pt>
                <c:pt idx="18">
                  <c:v>245000</c:v>
                </c:pt>
                <c:pt idx="19">
                  <c:v>229400</c:v>
                </c:pt>
                <c:pt idx="20">
                  <c:v>205000</c:v>
                </c:pt>
                <c:pt idx="21">
                  <c:v>220000</c:v>
                </c:pt>
                <c:pt idx="22">
                  <c:v>239900</c:v>
                </c:pt>
                <c:pt idx="23">
                  <c:v>233000</c:v>
                </c:pt>
              </c:numCache>
            </c:numRef>
          </c:val>
          <c:smooth val="0"/>
        </c:ser>
        <c:ser>
          <c:idx val="1"/>
          <c:order val="1"/>
          <c:tx>
            <c:strRef>
              <c:f>'Purchase Price Trends'!$C$1</c:f>
              <c:strCache>
                <c:ptCount val="1"/>
                <c:pt idx="0">
                  <c:v>Strafford Region</c:v>
                </c:pt>
              </c:strCache>
            </c:strRef>
          </c:tx>
          <c:marker>
            <c:symbol val="none"/>
          </c:marker>
          <c:cat>
            <c:numRef>
              <c:f>'Purchase Price 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 Price Trends'!$C$2:$C$25</c:f>
              <c:numCache>
                <c:formatCode>"$"#,##0</c:formatCode>
                <c:ptCount val="24"/>
                <c:pt idx="0">
                  <c:v>105905</c:v>
                </c:pt>
                <c:pt idx="1">
                  <c:v>91000</c:v>
                </c:pt>
                <c:pt idx="2">
                  <c:v>86000</c:v>
                </c:pt>
                <c:pt idx="3">
                  <c:v>87905</c:v>
                </c:pt>
                <c:pt idx="4">
                  <c:v>88800</c:v>
                </c:pt>
                <c:pt idx="5">
                  <c:v>90000</c:v>
                </c:pt>
                <c:pt idx="6">
                  <c:v>92500</c:v>
                </c:pt>
                <c:pt idx="7">
                  <c:v>94900</c:v>
                </c:pt>
                <c:pt idx="8">
                  <c:v>108900</c:v>
                </c:pt>
                <c:pt idx="9">
                  <c:v>118000</c:v>
                </c:pt>
                <c:pt idx="10">
                  <c:v>131600</c:v>
                </c:pt>
                <c:pt idx="11">
                  <c:v>160000</c:v>
                </c:pt>
                <c:pt idx="12">
                  <c:v>180000</c:v>
                </c:pt>
                <c:pt idx="13">
                  <c:v>204800</c:v>
                </c:pt>
                <c:pt idx="14">
                  <c:v>228300</c:v>
                </c:pt>
                <c:pt idx="15">
                  <c:v>239900</c:v>
                </c:pt>
                <c:pt idx="16">
                  <c:v>232200</c:v>
                </c:pt>
                <c:pt idx="17">
                  <c:v>240000</c:v>
                </c:pt>
                <c:pt idx="18">
                  <c:v>230000</c:v>
                </c:pt>
                <c:pt idx="19">
                  <c:v>195900</c:v>
                </c:pt>
                <c:pt idx="20">
                  <c:v>197533</c:v>
                </c:pt>
                <c:pt idx="21">
                  <c:v>192000</c:v>
                </c:pt>
                <c:pt idx="22">
                  <c:v>189900</c:v>
                </c:pt>
                <c:pt idx="23">
                  <c:v>205000</c:v>
                </c:pt>
              </c:numCache>
            </c:numRef>
          </c:val>
          <c:smooth val="0"/>
        </c:ser>
        <c:ser>
          <c:idx val="2"/>
          <c:order val="2"/>
          <c:tx>
            <c:strRef>
              <c:f>'Purchase Price Trends'!$D$1</c:f>
              <c:strCache>
                <c:ptCount val="1"/>
                <c:pt idx="0">
                  <c:v>Portsmouth-Rochester HFMR</c:v>
                </c:pt>
              </c:strCache>
            </c:strRef>
          </c:tx>
          <c:spPr>
            <a:ln>
              <a:solidFill>
                <a:schemeClr val="tx1">
                  <a:lumMod val="65000"/>
                  <a:lumOff val="35000"/>
                </a:schemeClr>
              </a:solidFill>
            </a:ln>
          </c:spPr>
          <c:marker>
            <c:symbol val="none"/>
          </c:marker>
          <c:cat>
            <c:numRef>
              <c:f>'Purchase Price 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 Price Trends'!$D$2:$D$25</c:f>
              <c:numCache>
                <c:formatCode>"$"#,##0</c:formatCode>
                <c:ptCount val="24"/>
                <c:pt idx="0">
                  <c:v>119048</c:v>
                </c:pt>
                <c:pt idx="1">
                  <c:v>106000</c:v>
                </c:pt>
                <c:pt idx="2">
                  <c:v>97850</c:v>
                </c:pt>
                <c:pt idx="3">
                  <c:v>101000</c:v>
                </c:pt>
                <c:pt idx="4">
                  <c:v>103000</c:v>
                </c:pt>
                <c:pt idx="5">
                  <c:v>105000</c:v>
                </c:pt>
                <c:pt idx="6">
                  <c:v>110000</c:v>
                </c:pt>
                <c:pt idx="7">
                  <c:v>112100</c:v>
                </c:pt>
                <c:pt idx="8">
                  <c:v>129900</c:v>
                </c:pt>
                <c:pt idx="9">
                  <c:v>143000</c:v>
                </c:pt>
                <c:pt idx="10">
                  <c:v>160000</c:v>
                </c:pt>
                <c:pt idx="11">
                  <c:v>184000</c:v>
                </c:pt>
                <c:pt idx="12">
                  <c:v>215000</c:v>
                </c:pt>
                <c:pt idx="13">
                  <c:v>234900</c:v>
                </c:pt>
                <c:pt idx="14">
                  <c:v>259000</c:v>
                </c:pt>
                <c:pt idx="15">
                  <c:v>270000</c:v>
                </c:pt>
                <c:pt idx="16">
                  <c:v>269000</c:v>
                </c:pt>
                <c:pt idx="17">
                  <c:v>279900</c:v>
                </c:pt>
                <c:pt idx="18">
                  <c:v>270000</c:v>
                </c:pt>
                <c:pt idx="19">
                  <c:v>230000</c:v>
                </c:pt>
                <c:pt idx="20">
                  <c:v>243000</c:v>
                </c:pt>
                <c:pt idx="21">
                  <c:v>240000</c:v>
                </c:pt>
                <c:pt idx="22">
                  <c:v>249890</c:v>
                </c:pt>
                <c:pt idx="23">
                  <c:v>262500</c:v>
                </c:pt>
              </c:numCache>
            </c:numRef>
          </c:val>
          <c:smooth val="0"/>
        </c:ser>
        <c:ser>
          <c:idx val="3"/>
          <c:order val="3"/>
          <c:tx>
            <c:strRef>
              <c:f>'Purchase Price Trends'!$E$1</c:f>
              <c:strCache>
                <c:ptCount val="1"/>
                <c:pt idx="0">
                  <c:v>NH</c:v>
                </c:pt>
              </c:strCache>
            </c:strRef>
          </c:tx>
          <c:spPr>
            <a:ln>
              <a:solidFill>
                <a:schemeClr val="bg2">
                  <a:lumMod val="75000"/>
                </a:schemeClr>
              </a:solidFill>
            </a:ln>
          </c:spPr>
          <c:marker>
            <c:symbol val="none"/>
          </c:marker>
          <c:cat>
            <c:numRef>
              <c:f>'Purchase Price Trends'!$A$2:$A$25</c:f>
              <c:numCache>
                <c:formatCode>0</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'Purchase Price Trends'!$E$2:$E$25</c:f>
              <c:numCache>
                <c:formatCode>"$"#,##0</c:formatCode>
                <c:ptCount val="24"/>
                <c:pt idx="0">
                  <c:v>119905</c:v>
                </c:pt>
                <c:pt idx="1">
                  <c:v>108000</c:v>
                </c:pt>
                <c:pt idx="2">
                  <c:v>101048</c:v>
                </c:pt>
                <c:pt idx="3">
                  <c:v>105000</c:v>
                </c:pt>
                <c:pt idx="4">
                  <c:v>105000</c:v>
                </c:pt>
                <c:pt idx="5">
                  <c:v>108000</c:v>
                </c:pt>
                <c:pt idx="6">
                  <c:v>110000</c:v>
                </c:pt>
                <c:pt idx="7">
                  <c:v>113000</c:v>
                </c:pt>
                <c:pt idx="8">
                  <c:v>124000</c:v>
                </c:pt>
                <c:pt idx="9">
                  <c:v>129000</c:v>
                </c:pt>
                <c:pt idx="10">
                  <c:v>143000</c:v>
                </c:pt>
                <c:pt idx="11">
                  <c:v>162000</c:v>
                </c:pt>
                <c:pt idx="12">
                  <c:v>189900</c:v>
                </c:pt>
                <c:pt idx="13">
                  <c:v>215000</c:v>
                </c:pt>
                <c:pt idx="14">
                  <c:v>238000</c:v>
                </c:pt>
                <c:pt idx="15">
                  <c:v>250000</c:v>
                </c:pt>
                <c:pt idx="16">
                  <c:v>249900</c:v>
                </c:pt>
                <c:pt idx="17">
                  <c:v>252500</c:v>
                </c:pt>
                <c:pt idx="18">
                  <c:v>240000</c:v>
                </c:pt>
                <c:pt idx="19">
                  <c:v>210000</c:v>
                </c:pt>
                <c:pt idx="20">
                  <c:v>215000</c:v>
                </c:pt>
                <c:pt idx="21">
                  <c:v>207000</c:v>
                </c:pt>
                <c:pt idx="22">
                  <c:v>205000</c:v>
                </c:pt>
                <c:pt idx="23">
                  <c:v>220000</c:v>
                </c:pt>
              </c:numCache>
            </c:numRef>
          </c:val>
          <c:smooth val="0"/>
        </c:ser>
        <c:dLbls>
          <c:showLegendKey val="0"/>
          <c:showVal val="0"/>
          <c:showCatName val="0"/>
          <c:showSerName val="0"/>
          <c:showPercent val="0"/>
          <c:showBubbleSize val="0"/>
        </c:dLbls>
        <c:marker val="1"/>
        <c:smooth val="0"/>
        <c:axId val="232690816"/>
        <c:axId val="232692352"/>
      </c:lineChart>
      <c:catAx>
        <c:axId val="232690816"/>
        <c:scaling>
          <c:orientation val="minMax"/>
        </c:scaling>
        <c:delete val="0"/>
        <c:axPos val="b"/>
        <c:numFmt formatCode="0" sourceLinked="1"/>
        <c:majorTickMark val="out"/>
        <c:minorTickMark val="none"/>
        <c:tickLblPos val="nextTo"/>
        <c:txPr>
          <a:bodyPr/>
          <a:lstStyle/>
          <a:p>
            <a:pPr>
              <a:defRPr sz="900"/>
            </a:pPr>
            <a:endParaRPr lang="en-US"/>
          </a:p>
        </c:txPr>
        <c:crossAx val="232692352"/>
        <c:crosses val="autoZero"/>
        <c:auto val="1"/>
        <c:lblAlgn val="ctr"/>
        <c:lblOffset val="100"/>
        <c:noMultiLvlLbl val="0"/>
      </c:catAx>
      <c:valAx>
        <c:axId val="232692352"/>
        <c:scaling>
          <c:orientation val="minMax"/>
        </c:scaling>
        <c:delete val="0"/>
        <c:axPos val="l"/>
        <c:numFmt formatCode="&quot;$&quot;#,##0" sourceLinked="1"/>
        <c:majorTickMark val="out"/>
        <c:minorTickMark val="none"/>
        <c:tickLblPos val="nextTo"/>
        <c:crossAx val="232690816"/>
        <c:crosses val="autoZero"/>
        <c:crossBetween val="between"/>
      </c:valAx>
      <c:spPr>
        <a:noFill/>
      </c:spPr>
    </c:plotArea>
    <c:legend>
      <c:legendPos val="r"/>
      <c:overlay val="0"/>
    </c:legend>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a:t>
            </a:r>
            <a:r>
              <a:rPr lang="en-US" sz="1000" baseline="0"/>
              <a:t> 11: </a:t>
            </a:r>
            <a:r>
              <a:rPr lang="en-US" sz="1000"/>
              <a:t>2013 Purchase Price Frequency</a:t>
            </a:r>
          </a:p>
          <a:p>
            <a:pPr>
              <a:defRPr/>
            </a:pPr>
            <a:r>
              <a:rPr lang="en-US" sz="950" b="0"/>
              <a:t>Source: New Hampshire Housing Finance Authority</a:t>
            </a:r>
          </a:p>
        </c:rich>
      </c:tx>
      <c:overlay val="0"/>
    </c:title>
    <c:autoTitleDeleted val="0"/>
    <c:plotArea>
      <c:layout/>
      <c:barChart>
        <c:barDir val="col"/>
        <c:grouping val="stacked"/>
        <c:varyColors val="0"/>
        <c:ser>
          <c:idx val="0"/>
          <c:order val="0"/>
          <c:tx>
            <c:strRef>
              <c:f>'Purchase Price Frequency'!$A$2</c:f>
              <c:strCache>
                <c:ptCount val="1"/>
                <c:pt idx="0">
                  <c:v>Existing</c:v>
                </c:pt>
              </c:strCache>
            </c:strRef>
          </c:tx>
          <c:spPr>
            <a:solidFill>
              <a:schemeClr val="bg2">
                <a:lumMod val="75000"/>
              </a:schemeClr>
            </a:solidFill>
          </c:spPr>
          <c:invertIfNegative val="0"/>
          <c:cat>
            <c:numRef>
              <c:f>'Purchase Price Frequency'!$B$1:$AZ$1</c:f>
              <c:numCache>
                <c:formatCode>_("$"* #,##0_);_("$"* \(#,##0\);_("$"* "-"??_);_(@_)</c:formatCode>
                <c:ptCount val="51"/>
                <c:pt idx="0">
                  <c:v>30000</c:v>
                </c:pt>
                <c:pt idx="1">
                  <c:v>40000</c:v>
                </c:pt>
                <c:pt idx="2">
                  <c:v>60000</c:v>
                </c:pt>
                <c:pt idx="3">
                  <c:v>70000</c:v>
                </c:pt>
                <c:pt idx="4">
                  <c:v>80000</c:v>
                </c:pt>
                <c:pt idx="5">
                  <c:v>90000</c:v>
                </c:pt>
                <c:pt idx="6">
                  <c:v>100000</c:v>
                </c:pt>
                <c:pt idx="7">
                  <c:v>110000</c:v>
                </c:pt>
                <c:pt idx="8">
                  <c:v>120000</c:v>
                </c:pt>
                <c:pt idx="9">
                  <c:v>130000</c:v>
                </c:pt>
                <c:pt idx="10">
                  <c:v>140000</c:v>
                </c:pt>
                <c:pt idx="11">
                  <c:v>150000</c:v>
                </c:pt>
                <c:pt idx="12">
                  <c:v>160000</c:v>
                </c:pt>
                <c:pt idx="13">
                  <c:v>170000</c:v>
                </c:pt>
                <c:pt idx="14">
                  <c:v>180000</c:v>
                </c:pt>
                <c:pt idx="15">
                  <c:v>190000</c:v>
                </c:pt>
                <c:pt idx="16">
                  <c:v>200000</c:v>
                </c:pt>
                <c:pt idx="17">
                  <c:v>210000</c:v>
                </c:pt>
                <c:pt idx="18">
                  <c:v>220000</c:v>
                </c:pt>
                <c:pt idx="19">
                  <c:v>230000</c:v>
                </c:pt>
                <c:pt idx="20">
                  <c:v>240000</c:v>
                </c:pt>
                <c:pt idx="21">
                  <c:v>250000</c:v>
                </c:pt>
                <c:pt idx="22">
                  <c:v>260000</c:v>
                </c:pt>
                <c:pt idx="23">
                  <c:v>270000</c:v>
                </c:pt>
                <c:pt idx="24">
                  <c:v>280000</c:v>
                </c:pt>
                <c:pt idx="25">
                  <c:v>290000</c:v>
                </c:pt>
                <c:pt idx="26">
                  <c:v>300000</c:v>
                </c:pt>
                <c:pt idx="27">
                  <c:v>310000</c:v>
                </c:pt>
                <c:pt idx="28">
                  <c:v>320000</c:v>
                </c:pt>
                <c:pt idx="29">
                  <c:v>330000</c:v>
                </c:pt>
                <c:pt idx="30">
                  <c:v>340000</c:v>
                </c:pt>
                <c:pt idx="31">
                  <c:v>350000</c:v>
                </c:pt>
                <c:pt idx="32">
                  <c:v>360000</c:v>
                </c:pt>
                <c:pt idx="33">
                  <c:v>370000</c:v>
                </c:pt>
                <c:pt idx="34">
                  <c:v>380000</c:v>
                </c:pt>
                <c:pt idx="35">
                  <c:v>390000</c:v>
                </c:pt>
                <c:pt idx="36">
                  <c:v>400000</c:v>
                </c:pt>
                <c:pt idx="37">
                  <c:v>410000</c:v>
                </c:pt>
                <c:pt idx="38">
                  <c:v>420000</c:v>
                </c:pt>
                <c:pt idx="39">
                  <c:v>430000</c:v>
                </c:pt>
                <c:pt idx="40">
                  <c:v>440000</c:v>
                </c:pt>
                <c:pt idx="41">
                  <c:v>450000</c:v>
                </c:pt>
                <c:pt idx="42">
                  <c:v>460000</c:v>
                </c:pt>
                <c:pt idx="43">
                  <c:v>470000</c:v>
                </c:pt>
                <c:pt idx="44">
                  <c:v>480000</c:v>
                </c:pt>
                <c:pt idx="45">
                  <c:v>490000</c:v>
                </c:pt>
                <c:pt idx="46">
                  <c:v>500000</c:v>
                </c:pt>
                <c:pt idx="47">
                  <c:v>510000</c:v>
                </c:pt>
                <c:pt idx="48">
                  <c:v>520000</c:v>
                </c:pt>
                <c:pt idx="49">
                  <c:v>530000</c:v>
                </c:pt>
                <c:pt idx="50">
                  <c:v>540000</c:v>
                </c:pt>
              </c:numCache>
            </c:numRef>
          </c:cat>
          <c:val>
            <c:numRef>
              <c:f>'Purchase Price Frequency'!$B$2:$AZ$2</c:f>
              <c:numCache>
                <c:formatCode>General</c:formatCode>
                <c:ptCount val="51"/>
                <c:pt idx="0">
                  <c:v>0</c:v>
                </c:pt>
                <c:pt idx="1">
                  <c:v>0</c:v>
                </c:pt>
                <c:pt idx="2">
                  <c:v>0</c:v>
                </c:pt>
                <c:pt idx="3">
                  <c:v>0</c:v>
                </c:pt>
                <c:pt idx="4">
                  <c:v>1</c:v>
                </c:pt>
                <c:pt idx="5">
                  <c:v>0</c:v>
                </c:pt>
                <c:pt idx="6">
                  <c:v>0</c:v>
                </c:pt>
                <c:pt idx="7">
                  <c:v>1</c:v>
                </c:pt>
                <c:pt idx="8">
                  <c:v>0</c:v>
                </c:pt>
                <c:pt idx="9">
                  <c:v>0</c:v>
                </c:pt>
                <c:pt idx="10">
                  <c:v>3</c:v>
                </c:pt>
                <c:pt idx="11">
                  <c:v>3</c:v>
                </c:pt>
                <c:pt idx="12">
                  <c:v>1</c:v>
                </c:pt>
                <c:pt idx="13">
                  <c:v>0</c:v>
                </c:pt>
                <c:pt idx="14">
                  <c:v>0</c:v>
                </c:pt>
                <c:pt idx="15">
                  <c:v>3</c:v>
                </c:pt>
                <c:pt idx="16">
                  <c:v>1</c:v>
                </c:pt>
                <c:pt idx="17">
                  <c:v>1</c:v>
                </c:pt>
                <c:pt idx="18">
                  <c:v>4</c:v>
                </c:pt>
                <c:pt idx="19">
                  <c:v>3</c:v>
                </c:pt>
                <c:pt idx="20">
                  <c:v>3</c:v>
                </c:pt>
                <c:pt idx="21">
                  <c:v>4</c:v>
                </c:pt>
                <c:pt idx="22">
                  <c:v>1</c:v>
                </c:pt>
                <c:pt idx="23">
                  <c:v>0</c:v>
                </c:pt>
                <c:pt idx="24">
                  <c:v>0</c:v>
                </c:pt>
                <c:pt idx="25">
                  <c:v>3</c:v>
                </c:pt>
                <c:pt idx="26">
                  <c:v>2</c:v>
                </c:pt>
                <c:pt idx="27">
                  <c:v>0</c:v>
                </c:pt>
                <c:pt idx="28">
                  <c:v>3</c:v>
                </c:pt>
                <c:pt idx="29">
                  <c:v>1</c:v>
                </c:pt>
                <c:pt idx="30">
                  <c:v>1</c:v>
                </c:pt>
                <c:pt idx="31">
                  <c:v>1</c:v>
                </c:pt>
                <c:pt idx="32">
                  <c:v>1</c:v>
                </c:pt>
                <c:pt idx="33">
                  <c:v>0</c:v>
                </c:pt>
                <c:pt idx="34">
                  <c:v>2</c:v>
                </c:pt>
                <c:pt idx="35">
                  <c:v>1</c:v>
                </c:pt>
                <c:pt idx="36">
                  <c:v>0</c:v>
                </c:pt>
                <c:pt idx="37">
                  <c:v>0</c:v>
                </c:pt>
                <c:pt idx="38">
                  <c:v>0</c:v>
                </c:pt>
                <c:pt idx="39">
                  <c:v>0</c:v>
                </c:pt>
                <c:pt idx="40">
                  <c:v>1</c:v>
                </c:pt>
                <c:pt idx="41">
                  <c:v>0</c:v>
                </c:pt>
                <c:pt idx="42">
                  <c:v>0</c:v>
                </c:pt>
                <c:pt idx="43">
                  <c:v>0</c:v>
                </c:pt>
                <c:pt idx="44">
                  <c:v>0</c:v>
                </c:pt>
                <c:pt idx="45">
                  <c:v>0</c:v>
                </c:pt>
                <c:pt idx="46">
                  <c:v>0</c:v>
                </c:pt>
                <c:pt idx="47">
                  <c:v>0</c:v>
                </c:pt>
                <c:pt idx="48">
                  <c:v>0</c:v>
                </c:pt>
                <c:pt idx="49">
                  <c:v>0</c:v>
                </c:pt>
                <c:pt idx="50">
                  <c:v>0</c:v>
                </c:pt>
              </c:numCache>
            </c:numRef>
          </c:val>
        </c:ser>
        <c:ser>
          <c:idx val="1"/>
          <c:order val="1"/>
          <c:tx>
            <c:strRef>
              <c:f>'Purchase Price Frequency'!$A$3</c:f>
              <c:strCache>
                <c:ptCount val="1"/>
                <c:pt idx="0">
                  <c:v>New</c:v>
                </c:pt>
              </c:strCache>
            </c:strRef>
          </c:tx>
          <c:invertIfNegative val="0"/>
          <c:cat>
            <c:numRef>
              <c:f>'Purchase Price Frequency'!$B$1:$AZ$1</c:f>
              <c:numCache>
                <c:formatCode>_("$"* #,##0_);_("$"* \(#,##0\);_("$"* "-"??_);_(@_)</c:formatCode>
                <c:ptCount val="51"/>
                <c:pt idx="0">
                  <c:v>30000</c:v>
                </c:pt>
                <c:pt idx="1">
                  <c:v>40000</c:v>
                </c:pt>
                <c:pt idx="2">
                  <c:v>60000</c:v>
                </c:pt>
                <c:pt idx="3">
                  <c:v>70000</c:v>
                </c:pt>
                <c:pt idx="4">
                  <c:v>80000</c:v>
                </c:pt>
                <c:pt idx="5">
                  <c:v>90000</c:v>
                </c:pt>
                <c:pt idx="6">
                  <c:v>100000</c:v>
                </c:pt>
                <c:pt idx="7">
                  <c:v>110000</c:v>
                </c:pt>
                <c:pt idx="8">
                  <c:v>120000</c:v>
                </c:pt>
                <c:pt idx="9">
                  <c:v>130000</c:v>
                </c:pt>
                <c:pt idx="10">
                  <c:v>140000</c:v>
                </c:pt>
                <c:pt idx="11">
                  <c:v>150000</c:v>
                </c:pt>
                <c:pt idx="12">
                  <c:v>160000</c:v>
                </c:pt>
                <c:pt idx="13">
                  <c:v>170000</c:v>
                </c:pt>
                <c:pt idx="14">
                  <c:v>180000</c:v>
                </c:pt>
                <c:pt idx="15">
                  <c:v>190000</c:v>
                </c:pt>
                <c:pt idx="16">
                  <c:v>200000</c:v>
                </c:pt>
                <c:pt idx="17">
                  <c:v>210000</c:v>
                </c:pt>
                <c:pt idx="18">
                  <c:v>220000</c:v>
                </c:pt>
                <c:pt idx="19">
                  <c:v>230000</c:v>
                </c:pt>
                <c:pt idx="20">
                  <c:v>240000</c:v>
                </c:pt>
                <c:pt idx="21">
                  <c:v>250000</c:v>
                </c:pt>
                <c:pt idx="22">
                  <c:v>260000</c:v>
                </c:pt>
                <c:pt idx="23">
                  <c:v>270000</c:v>
                </c:pt>
                <c:pt idx="24">
                  <c:v>280000</c:v>
                </c:pt>
                <c:pt idx="25">
                  <c:v>290000</c:v>
                </c:pt>
                <c:pt idx="26">
                  <c:v>300000</c:v>
                </c:pt>
                <c:pt idx="27">
                  <c:v>310000</c:v>
                </c:pt>
                <c:pt idx="28">
                  <c:v>320000</c:v>
                </c:pt>
                <c:pt idx="29">
                  <c:v>330000</c:v>
                </c:pt>
                <c:pt idx="30">
                  <c:v>340000</c:v>
                </c:pt>
                <c:pt idx="31">
                  <c:v>350000</c:v>
                </c:pt>
                <c:pt idx="32">
                  <c:v>360000</c:v>
                </c:pt>
                <c:pt idx="33">
                  <c:v>370000</c:v>
                </c:pt>
                <c:pt idx="34">
                  <c:v>380000</c:v>
                </c:pt>
                <c:pt idx="35">
                  <c:v>390000</c:v>
                </c:pt>
                <c:pt idx="36">
                  <c:v>400000</c:v>
                </c:pt>
                <c:pt idx="37">
                  <c:v>410000</c:v>
                </c:pt>
                <c:pt idx="38">
                  <c:v>420000</c:v>
                </c:pt>
                <c:pt idx="39">
                  <c:v>430000</c:v>
                </c:pt>
                <c:pt idx="40">
                  <c:v>440000</c:v>
                </c:pt>
                <c:pt idx="41">
                  <c:v>450000</c:v>
                </c:pt>
                <c:pt idx="42">
                  <c:v>460000</c:v>
                </c:pt>
                <c:pt idx="43">
                  <c:v>470000</c:v>
                </c:pt>
                <c:pt idx="44">
                  <c:v>480000</c:v>
                </c:pt>
                <c:pt idx="45">
                  <c:v>490000</c:v>
                </c:pt>
                <c:pt idx="46">
                  <c:v>500000</c:v>
                </c:pt>
                <c:pt idx="47">
                  <c:v>510000</c:v>
                </c:pt>
                <c:pt idx="48">
                  <c:v>520000</c:v>
                </c:pt>
                <c:pt idx="49">
                  <c:v>530000</c:v>
                </c:pt>
                <c:pt idx="50">
                  <c:v>540000</c:v>
                </c:pt>
              </c:numCache>
            </c:numRef>
          </c:cat>
          <c:val>
            <c:numRef>
              <c:f>'Purchase Price Frequency'!$B$3:$AZ$3</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1</c:v>
                </c:pt>
                <c:pt idx="43">
                  <c:v>0</c:v>
                </c:pt>
                <c:pt idx="44">
                  <c:v>0</c:v>
                </c:pt>
                <c:pt idx="45">
                  <c:v>0</c:v>
                </c:pt>
                <c:pt idx="46">
                  <c:v>0</c:v>
                </c:pt>
                <c:pt idx="47">
                  <c:v>0</c:v>
                </c:pt>
                <c:pt idx="48">
                  <c:v>0</c:v>
                </c:pt>
                <c:pt idx="49">
                  <c:v>0</c:v>
                </c:pt>
                <c:pt idx="50">
                  <c:v>0</c:v>
                </c:pt>
              </c:numCache>
            </c:numRef>
          </c:val>
        </c:ser>
        <c:dLbls>
          <c:showLegendKey val="0"/>
          <c:showVal val="0"/>
          <c:showCatName val="0"/>
          <c:showSerName val="0"/>
          <c:showPercent val="0"/>
          <c:showBubbleSize val="0"/>
        </c:dLbls>
        <c:gapWidth val="150"/>
        <c:overlap val="100"/>
        <c:axId val="235114880"/>
        <c:axId val="235116416"/>
      </c:barChart>
      <c:catAx>
        <c:axId val="235114880"/>
        <c:scaling>
          <c:orientation val="minMax"/>
        </c:scaling>
        <c:delete val="0"/>
        <c:axPos val="b"/>
        <c:numFmt formatCode="_(&quot;$&quot;* #,##0_);_(&quot;$&quot;* \(#,##0\);_(&quot;$&quot;* &quot;-&quot;??_);_(@_)" sourceLinked="1"/>
        <c:majorTickMark val="out"/>
        <c:minorTickMark val="none"/>
        <c:tickLblPos val="nextTo"/>
        <c:txPr>
          <a:bodyPr/>
          <a:lstStyle/>
          <a:p>
            <a:pPr>
              <a:defRPr sz="900"/>
            </a:pPr>
            <a:endParaRPr lang="en-US"/>
          </a:p>
        </c:txPr>
        <c:crossAx val="235116416"/>
        <c:crosses val="autoZero"/>
        <c:auto val="1"/>
        <c:lblAlgn val="ctr"/>
        <c:lblOffset val="100"/>
        <c:noMultiLvlLbl val="0"/>
      </c:catAx>
      <c:valAx>
        <c:axId val="235116416"/>
        <c:scaling>
          <c:orientation val="minMax"/>
        </c:scaling>
        <c:delete val="0"/>
        <c:axPos val="l"/>
        <c:numFmt formatCode="General" sourceLinked="1"/>
        <c:majorTickMark val="out"/>
        <c:minorTickMark val="none"/>
        <c:tickLblPos val="nextTo"/>
        <c:crossAx val="235114880"/>
        <c:crosses val="autoZero"/>
        <c:crossBetween val="between"/>
        <c:majorUnit val="1"/>
      </c:valAx>
      <c:spPr>
        <a:noFill/>
      </c:spPr>
    </c:plotArea>
    <c:legend>
      <c:legendPos val="r"/>
      <c:overlay val="0"/>
    </c:legend>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 12: Annual Median</a:t>
            </a:r>
            <a:r>
              <a:rPr lang="en-US" sz="1000" baseline="0"/>
              <a:t> Monthly Rental Cost</a:t>
            </a:r>
          </a:p>
          <a:p>
            <a:pPr>
              <a:defRPr/>
            </a:pPr>
            <a:r>
              <a:rPr lang="en-US" sz="950" b="0" baseline="0"/>
              <a:t>Source: New Hampshire Housing Finance Authority</a:t>
            </a:r>
            <a:endParaRPr lang="en-US" sz="950" b="0"/>
          </a:p>
        </c:rich>
      </c:tx>
      <c:overlay val="0"/>
    </c:title>
    <c:autoTitleDeleted val="0"/>
    <c:plotArea>
      <c:layout/>
      <c:lineChart>
        <c:grouping val="standard"/>
        <c:varyColors val="0"/>
        <c:ser>
          <c:idx val="0"/>
          <c:order val="0"/>
          <c:tx>
            <c:strRef>
              <c:f>'Rental Price Trends'!$B$1</c:f>
              <c:strCache>
                <c:ptCount val="1"/>
                <c:pt idx="0">
                  <c:v>Newmarket</c:v>
                </c:pt>
              </c:strCache>
            </c:strRef>
          </c:tx>
          <c:spPr>
            <a:ln>
              <a:solidFill>
                <a:srgbClr val="00FFFF"/>
              </a:solidFill>
            </a:ln>
          </c:spPr>
          <c:marker>
            <c:symbol val="none"/>
          </c:marker>
          <c:cat>
            <c:numRef>
              <c:f>'Rental Price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Price Trends'!$B$2:$B$26</c:f>
              <c:numCache>
                <c:formatCode>"$"#,##0</c:formatCode>
                <c:ptCount val="25"/>
                <c:pt idx="0">
                  <c:v>520</c:v>
                </c:pt>
                <c:pt idx="1">
                  <c:v>498</c:v>
                </c:pt>
                <c:pt idx="2">
                  <c:v>462</c:v>
                </c:pt>
                <c:pt idx="3">
                  <c:v>483</c:v>
                </c:pt>
                <c:pt idx="4">
                  <c:v>479</c:v>
                </c:pt>
                <c:pt idx="5">
                  <c:v>581</c:v>
                </c:pt>
                <c:pt idx="6">
                  <c:v>701</c:v>
                </c:pt>
                <c:pt idx="7">
                  <c:v>535</c:v>
                </c:pt>
                <c:pt idx="8">
                  <c:v>549</c:v>
                </c:pt>
                <c:pt idx="9">
                  <c:v>750</c:v>
                </c:pt>
                <c:pt idx="10">
                  <c:v>832</c:v>
                </c:pt>
                <c:pt idx="11">
                  <c:v>707</c:v>
                </c:pt>
                <c:pt idx="12">
                  <c:v>686</c:v>
                </c:pt>
                <c:pt idx="13">
                  <c:v>731</c:v>
                </c:pt>
                <c:pt idx="14">
                  <c:v>1022</c:v>
                </c:pt>
                <c:pt idx="15">
                  <c:v>988</c:v>
                </c:pt>
                <c:pt idx="16">
                  <c:v>815</c:v>
                </c:pt>
                <c:pt idx="17">
                  <c:v>844</c:v>
                </c:pt>
                <c:pt idx="18">
                  <c:v>918</c:v>
                </c:pt>
                <c:pt idx="19">
                  <c:v>1197</c:v>
                </c:pt>
                <c:pt idx="20">
                  <c:v>1146</c:v>
                </c:pt>
                <c:pt idx="21">
                  <c:v>1268</c:v>
                </c:pt>
                <c:pt idx="22">
                  <c:v>1451</c:v>
                </c:pt>
                <c:pt idx="23">
                  <c:v>1267</c:v>
                </c:pt>
                <c:pt idx="24">
                  <c:v>1218</c:v>
                </c:pt>
              </c:numCache>
            </c:numRef>
          </c:val>
          <c:smooth val="0"/>
        </c:ser>
        <c:ser>
          <c:idx val="1"/>
          <c:order val="1"/>
          <c:tx>
            <c:strRef>
              <c:f>'Rental Price Trends'!$C$1</c:f>
              <c:strCache>
                <c:ptCount val="1"/>
                <c:pt idx="0">
                  <c:v>Strafford Region</c:v>
                </c:pt>
              </c:strCache>
            </c:strRef>
          </c:tx>
          <c:marker>
            <c:symbol val="none"/>
          </c:marker>
          <c:cat>
            <c:numRef>
              <c:f>'Rental Price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Price Trends'!$C$2:$C$26</c:f>
              <c:numCache>
                <c:formatCode>"$"#,##0</c:formatCode>
                <c:ptCount val="25"/>
                <c:pt idx="0">
                  <c:v>549</c:v>
                </c:pt>
                <c:pt idx="1">
                  <c:v>520</c:v>
                </c:pt>
                <c:pt idx="2">
                  <c:v>537</c:v>
                </c:pt>
                <c:pt idx="3">
                  <c:v>514</c:v>
                </c:pt>
                <c:pt idx="4">
                  <c:v>520</c:v>
                </c:pt>
                <c:pt idx="5">
                  <c:v>528</c:v>
                </c:pt>
                <c:pt idx="6">
                  <c:v>564</c:v>
                </c:pt>
                <c:pt idx="7">
                  <c:v>588</c:v>
                </c:pt>
                <c:pt idx="8">
                  <c:v>614</c:v>
                </c:pt>
                <c:pt idx="9">
                  <c:v>634</c:v>
                </c:pt>
                <c:pt idx="10">
                  <c:v>669</c:v>
                </c:pt>
                <c:pt idx="11">
                  <c:v>729</c:v>
                </c:pt>
                <c:pt idx="12">
                  <c:v>775</c:v>
                </c:pt>
                <c:pt idx="13">
                  <c:v>789</c:v>
                </c:pt>
                <c:pt idx="14">
                  <c:v>889</c:v>
                </c:pt>
                <c:pt idx="15">
                  <c:v>863</c:v>
                </c:pt>
                <c:pt idx="16">
                  <c:v>916</c:v>
                </c:pt>
                <c:pt idx="17">
                  <c:v>931</c:v>
                </c:pt>
                <c:pt idx="18">
                  <c:v>932</c:v>
                </c:pt>
                <c:pt idx="19">
                  <c:v>936</c:v>
                </c:pt>
                <c:pt idx="20">
                  <c:v>977</c:v>
                </c:pt>
                <c:pt idx="21">
                  <c:v>969</c:v>
                </c:pt>
                <c:pt idx="22">
                  <c:v>970</c:v>
                </c:pt>
                <c:pt idx="23">
                  <c:v>967</c:v>
                </c:pt>
                <c:pt idx="24">
                  <c:v>986</c:v>
                </c:pt>
              </c:numCache>
            </c:numRef>
          </c:val>
          <c:smooth val="0"/>
        </c:ser>
        <c:ser>
          <c:idx val="2"/>
          <c:order val="2"/>
          <c:tx>
            <c:strRef>
              <c:f>'Rental Price Trends'!$D$1</c:f>
              <c:strCache>
                <c:ptCount val="1"/>
                <c:pt idx="0">
                  <c:v>Portsmouth-Rochester HFMR</c:v>
                </c:pt>
              </c:strCache>
            </c:strRef>
          </c:tx>
          <c:spPr>
            <a:ln>
              <a:solidFill>
                <a:schemeClr val="tx1">
                  <a:lumMod val="65000"/>
                  <a:lumOff val="35000"/>
                </a:schemeClr>
              </a:solidFill>
            </a:ln>
          </c:spPr>
          <c:marker>
            <c:symbol val="none"/>
          </c:marker>
          <c:cat>
            <c:numRef>
              <c:f>'Rental Price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Price Trends'!$D$2:$D$26</c:f>
              <c:numCache>
                <c:formatCode>"$"#,##0</c:formatCode>
                <c:ptCount val="25"/>
                <c:pt idx="0">
                  <c:v>529</c:v>
                </c:pt>
                <c:pt idx="1">
                  <c:v>535</c:v>
                </c:pt>
                <c:pt idx="2">
                  <c:v>536</c:v>
                </c:pt>
                <c:pt idx="3">
                  <c:v>540</c:v>
                </c:pt>
                <c:pt idx="4">
                  <c:v>554</c:v>
                </c:pt>
                <c:pt idx="5">
                  <c:v>586</c:v>
                </c:pt>
                <c:pt idx="6">
                  <c:v>590</c:v>
                </c:pt>
                <c:pt idx="7">
                  <c:v>629</c:v>
                </c:pt>
                <c:pt idx="8">
                  <c:v>643</c:v>
                </c:pt>
                <c:pt idx="9">
                  <c:v>674</c:v>
                </c:pt>
                <c:pt idx="10">
                  <c:v>717</c:v>
                </c:pt>
                <c:pt idx="11">
                  <c:v>771</c:v>
                </c:pt>
                <c:pt idx="12">
                  <c:v>819</c:v>
                </c:pt>
                <c:pt idx="13">
                  <c:v>844</c:v>
                </c:pt>
                <c:pt idx="14">
                  <c:v>909</c:v>
                </c:pt>
                <c:pt idx="15">
                  <c:v>924</c:v>
                </c:pt>
                <c:pt idx="16">
                  <c:v>938</c:v>
                </c:pt>
                <c:pt idx="17">
                  <c:v>989</c:v>
                </c:pt>
                <c:pt idx="18">
                  <c:v>1007</c:v>
                </c:pt>
                <c:pt idx="19">
                  <c:v>1010</c:v>
                </c:pt>
                <c:pt idx="20">
                  <c:v>1040</c:v>
                </c:pt>
                <c:pt idx="21">
                  <c:v>1046</c:v>
                </c:pt>
                <c:pt idx="22">
                  <c:v>1048</c:v>
                </c:pt>
                <c:pt idx="23">
                  <c:v>1052</c:v>
                </c:pt>
                <c:pt idx="24">
                  <c:v>1080</c:v>
                </c:pt>
              </c:numCache>
            </c:numRef>
          </c:val>
          <c:smooth val="0"/>
        </c:ser>
        <c:ser>
          <c:idx val="3"/>
          <c:order val="3"/>
          <c:tx>
            <c:strRef>
              <c:f>'Rental Price Trends'!$E$1</c:f>
              <c:strCache>
                <c:ptCount val="1"/>
                <c:pt idx="0">
                  <c:v>NH</c:v>
                </c:pt>
              </c:strCache>
            </c:strRef>
          </c:tx>
          <c:spPr>
            <a:ln>
              <a:solidFill>
                <a:schemeClr val="bg2">
                  <a:lumMod val="75000"/>
                </a:schemeClr>
              </a:solidFill>
            </a:ln>
          </c:spPr>
          <c:marker>
            <c:symbol val="none"/>
          </c:marker>
          <c:cat>
            <c:numRef>
              <c:f>'Rental Price Trends'!$A$2:$A$26</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'Rental Price Trends'!$E$2:$E$26</c:f>
              <c:numCache>
                <c:formatCode>"$"#,##0</c:formatCode>
                <c:ptCount val="25"/>
                <c:pt idx="0">
                  <c:v>583</c:v>
                </c:pt>
                <c:pt idx="1">
                  <c:v>554</c:v>
                </c:pt>
                <c:pt idx="2">
                  <c:v>560</c:v>
                </c:pt>
                <c:pt idx="3">
                  <c:v>564</c:v>
                </c:pt>
                <c:pt idx="4">
                  <c:v>573</c:v>
                </c:pt>
                <c:pt idx="5">
                  <c:v>563</c:v>
                </c:pt>
                <c:pt idx="6">
                  <c:v>596</c:v>
                </c:pt>
                <c:pt idx="7">
                  <c:v>608</c:v>
                </c:pt>
                <c:pt idx="8">
                  <c:v>636</c:v>
                </c:pt>
                <c:pt idx="9">
                  <c:v>665</c:v>
                </c:pt>
                <c:pt idx="10">
                  <c:v>697</c:v>
                </c:pt>
                <c:pt idx="11">
                  <c:v>738</c:v>
                </c:pt>
                <c:pt idx="12">
                  <c:v>810</c:v>
                </c:pt>
                <c:pt idx="13">
                  <c:v>854</c:v>
                </c:pt>
                <c:pt idx="14">
                  <c:v>896</c:v>
                </c:pt>
                <c:pt idx="15">
                  <c:v>901</c:v>
                </c:pt>
                <c:pt idx="16">
                  <c:v>928</c:v>
                </c:pt>
                <c:pt idx="17">
                  <c:v>946</c:v>
                </c:pt>
                <c:pt idx="18">
                  <c:v>969</c:v>
                </c:pt>
                <c:pt idx="19">
                  <c:v>969</c:v>
                </c:pt>
                <c:pt idx="20">
                  <c:v>980</c:v>
                </c:pt>
                <c:pt idx="21">
                  <c:v>984</c:v>
                </c:pt>
                <c:pt idx="22">
                  <c:v>1005</c:v>
                </c:pt>
                <c:pt idx="23">
                  <c:v>1018</c:v>
                </c:pt>
                <c:pt idx="24">
                  <c:v>1037</c:v>
                </c:pt>
              </c:numCache>
            </c:numRef>
          </c:val>
          <c:smooth val="0"/>
        </c:ser>
        <c:dLbls>
          <c:showLegendKey val="0"/>
          <c:showVal val="0"/>
          <c:showCatName val="0"/>
          <c:showSerName val="0"/>
          <c:showPercent val="0"/>
          <c:showBubbleSize val="0"/>
        </c:dLbls>
        <c:marker val="1"/>
        <c:smooth val="0"/>
        <c:axId val="236417408"/>
        <c:axId val="236418944"/>
      </c:lineChart>
      <c:catAx>
        <c:axId val="236417408"/>
        <c:scaling>
          <c:orientation val="minMax"/>
        </c:scaling>
        <c:delete val="0"/>
        <c:axPos val="b"/>
        <c:numFmt formatCode="General" sourceLinked="1"/>
        <c:majorTickMark val="out"/>
        <c:minorTickMark val="none"/>
        <c:tickLblPos val="nextTo"/>
        <c:crossAx val="236418944"/>
        <c:crosses val="autoZero"/>
        <c:auto val="1"/>
        <c:lblAlgn val="ctr"/>
        <c:lblOffset val="100"/>
        <c:noMultiLvlLbl val="0"/>
      </c:catAx>
      <c:valAx>
        <c:axId val="236418944"/>
        <c:scaling>
          <c:orientation val="minMax"/>
        </c:scaling>
        <c:delete val="0"/>
        <c:axPos val="l"/>
        <c:numFmt formatCode="&quot;$&quot;#,##0" sourceLinked="1"/>
        <c:majorTickMark val="out"/>
        <c:minorTickMark val="none"/>
        <c:tickLblPos val="nextTo"/>
        <c:crossAx val="236417408"/>
        <c:crosses val="autoZero"/>
        <c:crossBetween val="between"/>
      </c:valAx>
      <c:spPr>
        <a:noFill/>
      </c:spPr>
    </c:plotArea>
    <c:legend>
      <c:legendPos val="r"/>
      <c:overlay val="0"/>
    </c:legend>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a:t>
            </a:r>
            <a:r>
              <a:rPr lang="en-US" sz="1000" baseline="0"/>
              <a:t> 13</a:t>
            </a:r>
            <a:r>
              <a:rPr lang="en-US" sz="1000"/>
              <a:t>: 2013 Rental Cost Frequency</a:t>
            </a:r>
          </a:p>
          <a:p>
            <a:pPr>
              <a:defRPr/>
            </a:pPr>
            <a:r>
              <a:rPr lang="en-US" sz="950" b="0"/>
              <a:t>Source: New Hampshire Housing Finance Authority</a:t>
            </a:r>
          </a:p>
        </c:rich>
      </c:tx>
      <c:overlay val="0"/>
    </c:title>
    <c:autoTitleDeleted val="0"/>
    <c:plotArea>
      <c:layout/>
      <c:barChart>
        <c:barDir val="col"/>
        <c:grouping val="stacked"/>
        <c:varyColors val="0"/>
        <c:ser>
          <c:idx val="0"/>
          <c:order val="0"/>
          <c:tx>
            <c:strRef>
              <c:f>'Rental Frequency'!$A$2</c:f>
              <c:strCache>
                <c:ptCount val="1"/>
                <c:pt idx="0">
                  <c:v>2 Bedroom Units</c:v>
                </c:pt>
              </c:strCache>
            </c:strRef>
          </c:tx>
          <c:spPr>
            <a:solidFill>
              <a:schemeClr val="accent2">
                <a:lumMod val="75000"/>
              </a:schemeClr>
            </a:solidFill>
          </c:spPr>
          <c:invertIfNegative val="0"/>
          <c:cat>
            <c:numRef>
              <c:f>'Rental Frequency'!$B$1:$AP$1</c:f>
              <c:numCache>
                <c:formatCode>_("$"* #,##0_);_("$"* \(#,##0\);_("$"* "-"??_);_(@_)</c:formatCode>
                <c:ptCount val="41"/>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pt idx="39">
                  <c:v>2050</c:v>
                </c:pt>
                <c:pt idx="40">
                  <c:v>2100</c:v>
                </c:pt>
              </c:numCache>
            </c:numRef>
          </c:cat>
          <c:val>
            <c:numRef>
              <c:f>'Rental Frequency'!$B$2:$AP$2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c:v>
                </c:pt>
                <c:pt idx="17">
                  <c:v>1</c:v>
                </c:pt>
                <c:pt idx="18">
                  <c:v>1</c:v>
                </c:pt>
                <c:pt idx="19">
                  <c:v>1</c:v>
                </c:pt>
                <c:pt idx="20">
                  <c:v>17</c:v>
                </c:pt>
                <c:pt idx="21">
                  <c:v>1</c:v>
                </c:pt>
                <c:pt idx="22">
                  <c:v>12</c:v>
                </c:pt>
                <c:pt idx="23">
                  <c:v>56</c:v>
                </c:pt>
                <c:pt idx="24">
                  <c:v>1</c:v>
                </c:pt>
                <c:pt idx="25">
                  <c:v>3</c:v>
                </c:pt>
                <c:pt idx="26">
                  <c:v>0</c:v>
                </c:pt>
                <c:pt idx="27">
                  <c:v>9</c:v>
                </c:pt>
                <c:pt idx="28">
                  <c:v>0</c:v>
                </c:pt>
                <c:pt idx="29">
                  <c:v>1</c:v>
                </c:pt>
                <c:pt idx="30">
                  <c:v>15</c:v>
                </c:pt>
                <c:pt idx="31">
                  <c:v>3</c:v>
                </c:pt>
                <c:pt idx="32">
                  <c:v>6</c:v>
                </c:pt>
                <c:pt idx="33">
                  <c:v>1</c:v>
                </c:pt>
                <c:pt idx="34">
                  <c:v>0</c:v>
                </c:pt>
                <c:pt idx="35">
                  <c:v>0</c:v>
                </c:pt>
                <c:pt idx="36">
                  <c:v>2</c:v>
                </c:pt>
                <c:pt idx="37">
                  <c:v>0</c:v>
                </c:pt>
                <c:pt idx="38">
                  <c:v>0</c:v>
                </c:pt>
                <c:pt idx="39">
                  <c:v>0</c:v>
                </c:pt>
                <c:pt idx="40">
                  <c:v>0</c:v>
                </c:pt>
              </c:numCache>
            </c:numRef>
          </c:val>
        </c:ser>
        <c:ser>
          <c:idx val="1"/>
          <c:order val="1"/>
          <c:tx>
            <c:strRef>
              <c:f>'Rental Frequency'!$A$3</c:f>
              <c:strCache>
                <c:ptCount val="1"/>
                <c:pt idx="0">
                  <c:v>All Units</c:v>
                </c:pt>
              </c:strCache>
            </c:strRef>
          </c:tx>
          <c:spPr>
            <a:solidFill>
              <a:schemeClr val="bg2">
                <a:lumMod val="75000"/>
              </a:schemeClr>
            </a:solidFill>
          </c:spPr>
          <c:invertIfNegative val="0"/>
          <c:cat>
            <c:numRef>
              <c:f>'Rental Frequency'!$B$1:$AP$1</c:f>
              <c:numCache>
                <c:formatCode>_("$"* #,##0_);_("$"* \(#,##0\);_("$"* "-"??_);_(@_)</c:formatCode>
                <c:ptCount val="41"/>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pt idx="23">
                  <c:v>1250</c:v>
                </c:pt>
                <c:pt idx="24">
                  <c:v>1300</c:v>
                </c:pt>
                <c:pt idx="25">
                  <c:v>1350</c:v>
                </c:pt>
                <c:pt idx="26">
                  <c:v>1400</c:v>
                </c:pt>
                <c:pt idx="27">
                  <c:v>1450</c:v>
                </c:pt>
                <c:pt idx="28">
                  <c:v>1500</c:v>
                </c:pt>
                <c:pt idx="29">
                  <c:v>1550</c:v>
                </c:pt>
                <c:pt idx="30">
                  <c:v>1600</c:v>
                </c:pt>
                <c:pt idx="31">
                  <c:v>1650</c:v>
                </c:pt>
                <c:pt idx="32">
                  <c:v>1700</c:v>
                </c:pt>
                <c:pt idx="33">
                  <c:v>1750</c:v>
                </c:pt>
                <c:pt idx="34">
                  <c:v>1800</c:v>
                </c:pt>
                <c:pt idx="35">
                  <c:v>1850</c:v>
                </c:pt>
                <c:pt idx="36">
                  <c:v>1900</c:v>
                </c:pt>
                <c:pt idx="37">
                  <c:v>1950</c:v>
                </c:pt>
                <c:pt idx="38">
                  <c:v>2000</c:v>
                </c:pt>
                <c:pt idx="39">
                  <c:v>2050</c:v>
                </c:pt>
                <c:pt idx="40">
                  <c:v>2100</c:v>
                </c:pt>
              </c:numCache>
            </c:numRef>
          </c:cat>
          <c:val>
            <c:numRef>
              <c:f>'Rental Frequency'!$B$3:$AP$3</c:f>
              <c:numCache>
                <c:formatCode>General</c:formatCode>
                <c:ptCount val="41"/>
                <c:pt idx="0">
                  <c:v>0</c:v>
                </c:pt>
                <c:pt idx="1">
                  <c:v>0</c:v>
                </c:pt>
                <c:pt idx="2">
                  <c:v>0</c:v>
                </c:pt>
                <c:pt idx="3">
                  <c:v>0</c:v>
                </c:pt>
                <c:pt idx="4">
                  <c:v>0</c:v>
                </c:pt>
                <c:pt idx="5">
                  <c:v>0</c:v>
                </c:pt>
                <c:pt idx="6">
                  <c:v>0</c:v>
                </c:pt>
                <c:pt idx="7">
                  <c:v>0</c:v>
                </c:pt>
                <c:pt idx="8">
                  <c:v>0</c:v>
                </c:pt>
                <c:pt idx="9">
                  <c:v>0</c:v>
                </c:pt>
                <c:pt idx="10">
                  <c:v>1</c:v>
                </c:pt>
                <c:pt idx="11">
                  <c:v>1</c:v>
                </c:pt>
                <c:pt idx="12">
                  <c:v>1</c:v>
                </c:pt>
                <c:pt idx="13">
                  <c:v>0</c:v>
                </c:pt>
                <c:pt idx="14">
                  <c:v>1</c:v>
                </c:pt>
                <c:pt idx="15">
                  <c:v>18</c:v>
                </c:pt>
                <c:pt idx="16">
                  <c:v>4</c:v>
                </c:pt>
                <c:pt idx="17">
                  <c:v>6</c:v>
                </c:pt>
                <c:pt idx="18">
                  <c:v>2</c:v>
                </c:pt>
                <c:pt idx="19">
                  <c:v>7</c:v>
                </c:pt>
                <c:pt idx="20">
                  <c:v>18</c:v>
                </c:pt>
                <c:pt idx="21">
                  <c:v>4</c:v>
                </c:pt>
                <c:pt idx="22">
                  <c:v>13</c:v>
                </c:pt>
                <c:pt idx="23">
                  <c:v>57</c:v>
                </c:pt>
                <c:pt idx="24">
                  <c:v>2</c:v>
                </c:pt>
                <c:pt idx="25">
                  <c:v>3</c:v>
                </c:pt>
                <c:pt idx="26">
                  <c:v>0</c:v>
                </c:pt>
                <c:pt idx="27">
                  <c:v>9</c:v>
                </c:pt>
                <c:pt idx="28">
                  <c:v>1</c:v>
                </c:pt>
                <c:pt idx="29">
                  <c:v>1</c:v>
                </c:pt>
                <c:pt idx="30">
                  <c:v>15</c:v>
                </c:pt>
                <c:pt idx="31">
                  <c:v>3</c:v>
                </c:pt>
                <c:pt idx="32">
                  <c:v>6</c:v>
                </c:pt>
                <c:pt idx="33">
                  <c:v>2</c:v>
                </c:pt>
                <c:pt idx="34">
                  <c:v>2</c:v>
                </c:pt>
                <c:pt idx="35">
                  <c:v>0</c:v>
                </c:pt>
                <c:pt idx="36">
                  <c:v>2</c:v>
                </c:pt>
                <c:pt idx="37">
                  <c:v>0</c:v>
                </c:pt>
                <c:pt idx="38">
                  <c:v>2</c:v>
                </c:pt>
                <c:pt idx="39">
                  <c:v>0</c:v>
                </c:pt>
                <c:pt idx="40">
                  <c:v>2</c:v>
                </c:pt>
              </c:numCache>
            </c:numRef>
          </c:val>
        </c:ser>
        <c:dLbls>
          <c:showLegendKey val="0"/>
          <c:showVal val="0"/>
          <c:showCatName val="0"/>
          <c:showSerName val="0"/>
          <c:showPercent val="0"/>
          <c:showBubbleSize val="0"/>
        </c:dLbls>
        <c:gapWidth val="150"/>
        <c:overlap val="100"/>
        <c:axId val="236446080"/>
        <c:axId val="236447616"/>
      </c:barChart>
      <c:catAx>
        <c:axId val="236446080"/>
        <c:scaling>
          <c:orientation val="minMax"/>
        </c:scaling>
        <c:delete val="0"/>
        <c:axPos val="b"/>
        <c:numFmt formatCode="_(&quot;$&quot;* #,##0_);_(&quot;$&quot;* \(#,##0\);_(&quot;$&quot;* &quot;-&quot;??_);_(@_)" sourceLinked="1"/>
        <c:majorTickMark val="out"/>
        <c:minorTickMark val="none"/>
        <c:tickLblPos val="nextTo"/>
        <c:crossAx val="236447616"/>
        <c:crosses val="autoZero"/>
        <c:auto val="1"/>
        <c:lblAlgn val="ctr"/>
        <c:lblOffset val="100"/>
        <c:noMultiLvlLbl val="0"/>
      </c:catAx>
      <c:valAx>
        <c:axId val="236447616"/>
        <c:scaling>
          <c:orientation val="minMax"/>
        </c:scaling>
        <c:delete val="0"/>
        <c:axPos val="l"/>
        <c:numFmt formatCode="General" sourceLinked="1"/>
        <c:majorTickMark val="out"/>
        <c:minorTickMark val="none"/>
        <c:tickLblPos val="nextTo"/>
        <c:crossAx val="236446080"/>
        <c:crosses val="autoZero"/>
        <c:crossBetween val="between"/>
      </c:valAx>
      <c:spPr>
        <a:noFill/>
      </c:spPr>
    </c:plotArea>
    <c:legend>
      <c:legendPos val="r"/>
      <c:overlay val="0"/>
    </c:legend>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Figure 14: Newmarket Projected</a:t>
            </a:r>
            <a:r>
              <a:rPr lang="en-US" sz="1050" baseline="0"/>
              <a:t> </a:t>
            </a:r>
            <a:r>
              <a:rPr lang="en-US" sz="1050"/>
              <a:t>Housing Units</a:t>
            </a:r>
          </a:p>
          <a:p>
            <a:pPr>
              <a:defRPr/>
            </a:pPr>
            <a:r>
              <a:rPr lang="en-US" sz="800" b="0"/>
              <a:t>Source: RLS Demographics, NH Office of Energy and Planning, SRPC</a:t>
            </a:r>
          </a:p>
        </c:rich>
      </c:tx>
      <c:overlay val="0"/>
    </c:title>
    <c:autoTitleDeleted val="0"/>
    <c:plotArea>
      <c:layout/>
      <c:barChart>
        <c:barDir val="col"/>
        <c:grouping val="clustered"/>
        <c:varyColors val="0"/>
        <c:ser>
          <c:idx val="0"/>
          <c:order val="0"/>
          <c:tx>
            <c:strRef>
              <c:f>[HU_Projections.xlsx]Sheet1!$A$11</c:f>
              <c:strCache>
                <c:ptCount val="1"/>
                <c:pt idx="0">
                  <c:v>Newmarket Housing Units</c:v>
                </c:pt>
              </c:strCache>
            </c:strRef>
          </c:tx>
          <c:spPr>
            <a:solidFill>
              <a:schemeClr val="tx1">
                <a:lumMod val="65000"/>
                <a:lumOff val="35000"/>
              </a:schemeClr>
            </a:solidFill>
          </c:spPr>
          <c:invertIfNegative val="0"/>
          <c:cat>
            <c:numRef>
              <c:f>[HU_Projections.xlsx]Sheet1!$B$10:$G$10</c:f>
              <c:numCache>
                <c:formatCode>General</c:formatCode>
                <c:ptCount val="6"/>
                <c:pt idx="0">
                  <c:v>2010</c:v>
                </c:pt>
                <c:pt idx="1">
                  <c:v>2015</c:v>
                </c:pt>
                <c:pt idx="2">
                  <c:v>2020</c:v>
                </c:pt>
                <c:pt idx="3">
                  <c:v>2025</c:v>
                </c:pt>
                <c:pt idx="4">
                  <c:v>2030</c:v>
                </c:pt>
                <c:pt idx="5">
                  <c:v>2035</c:v>
                </c:pt>
              </c:numCache>
            </c:numRef>
          </c:cat>
          <c:val>
            <c:numRef>
              <c:f>[HU_Projections.xlsx]Sheet1!$B$11:$G$11</c:f>
              <c:numCache>
                <c:formatCode>0</c:formatCode>
                <c:ptCount val="6"/>
                <c:pt idx="0">
                  <c:v>4139</c:v>
                </c:pt>
                <c:pt idx="1">
                  <c:v>4287.6816248880932</c:v>
                </c:pt>
                <c:pt idx="2">
                  <c:v>4491.0188003581025</c:v>
                </c:pt>
                <c:pt idx="3">
                  <c:v>4589.6767009847808</c:v>
                </c:pt>
                <c:pt idx="4">
                  <c:v>4669.3441136974043</c:v>
                </c:pt>
                <c:pt idx="5">
                  <c:v>4710.1041853178158</c:v>
                </c:pt>
              </c:numCache>
            </c:numRef>
          </c:val>
        </c:ser>
        <c:dLbls>
          <c:dLblPos val="outEnd"/>
          <c:showLegendKey val="0"/>
          <c:showVal val="1"/>
          <c:showCatName val="0"/>
          <c:showSerName val="0"/>
          <c:showPercent val="0"/>
          <c:showBubbleSize val="0"/>
        </c:dLbls>
        <c:gapWidth val="150"/>
        <c:axId val="238175360"/>
        <c:axId val="238176896"/>
      </c:barChart>
      <c:catAx>
        <c:axId val="238175360"/>
        <c:scaling>
          <c:orientation val="minMax"/>
        </c:scaling>
        <c:delete val="0"/>
        <c:axPos val="b"/>
        <c:numFmt formatCode="General" sourceLinked="1"/>
        <c:majorTickMark val="out"/>
        <c:minorTickMark val="none"/>
        <c:tickLblPos val="nextTo"/>
        <c:crossAx val="238176896"/>
        <c:crosses val="autoZero"/>
        <c:auto val="1"/>
        <c:lblAlgn val="ctr"/>
        <c:lblOffset val="100"/>
        <c:noMultiLvlLbl val="0"/>
      </c:catAx>
      <c:valAx>
        <c:axId val="238176896"/>
        <c:scaling>
          <c:orientation val="minMax"/>
        </c:scaling>
        <c:delete val="0"/>
        <c:axPos val="l"/>
        <c:numFmt formatCode="0" sourceLinked="1"/>
        <c:majorTickMark val="out"/>
        <c:minorTickMark val="none"/>
        <c:tickLblPos val="nextTo"/>
        <c:crossAx val="238175360"/>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HistoricalProjLine!$A$3</c:f>
              <c:strCache>
                <c:ptCount val="1"/>
                <c:pt idx="0">
                  <c:v>Region</c:v>
                </c:pt>
              </c:strCache>
            </c:strRef>
          </c:tx>
          <c:spPr>
            <a:ln>
              <a:solidFill>
                <a:srgbClr val="C0504D">
                  <a:lumMod val="75000"/>
                </a:srgbClr>
              </a:solidFill>
            </a:ln>
          </c:spPr>
          <c:marker>
            <c:symbol val="none"/>
          </c:marker>
          <c:dPt>
            <c:idx val="6"/>
            <c:bubble3D val="0"/>
            <c:spPr>
              <a:ln>
                <a:solidFill>
                  <a:srgbClr val="C0504D">
                    <a:lumMod val="75000"/>
                  </a:srgbClr>
                </a:solidFill>
                <a:prstDash val="sysDash"/>
              </a:ln>
            </c:spPr>
          </c:dPt>
          <c:dPt>
            <c:idx val="7"/>
            <c:bubble3D val="0"/>
            <c:spPr>
              <a:ln>
                <a:solidFill>
                  <a:srgbClr val="C0504D">
                    <a:lumMod val="75000"/>
                  </a:srgbClr>
                </a:solidFill>
                <a:prstDash val="sysDash"/>
              </a:ln>
            </c:spPr>
          </c:dPt>
          <c:dPt>
            <c:idx val="8"/>
            <c:bubble3D val="0"/>
            <c:spPr>
              <a:ln>
                <a:solidFill>
                  <a:srgbClr val="C0504D">
                    <a:lumMod val="75000"/>
                  </a:srgbClr>
                </a:solidFill>
                <a:prstDash val="sysDash"/>
              </a:ln>
            </c:spPr>
          </c:dPt>
          <c:dPt>
            <c:idx val="9"/>
            <c:bubble3D val="0"/>
            <c:spPr>
              <a:ln>
                <a:solidFill>
                  <a:srgbClr val="C0504D">
                    <a:lumMod val="75000"/>
                  </a:srgbClr>
                </a:solidFill>
                <a:prstDash val="sysDash"/>
              </a:ln>
            </c:spPr>
          </c:dPt>
          <c:dPt>
            <c:idx val="10"/>
            <c:bubble3D val="0"/>
            <c:spPr>
              <a:ln>
                <a:solidFill>
                  <a:srgbClr val="C0504D">
                    <a:lumMod val="75000"/>
                  </a:srgbClr>
                </a:solidFill>
                <a:prstDash val="sysDash"/>
              </a:ln>
            </c:spPr>
          </c:dPt>
          <c:dPt>
            <c:idx val="11"/>
            <c:bubble3D val="0"/>
            <c:spPr>
              <a:ln>
                <a:solidFill>
                  <a:srgbClr val="C0504D">
                    <a:lumMod val="75000"/>
                  </a:srgbClr>
                </a:solidFill>
                <a:prstDash val="sysDash"/>
              </a:ln>
            </c:spPr>
          </c:dPt>
          <c:dLbls>
            <c:dLbl>
              <c:idx val="0"/>
              <c:layout>
                <c:manualLayout>
                  <c:x val="-4.7838365550248695E-2"/>
                  <c:y val="-5.9859454086281579E-2"/>
                </c:manualLayout>
              </c:layout>
              <c:dLblPos val="r"/>
              <c:showLegendKey val="0"/>
              <c:showVal val="1"/>
              <c:showCatName val="0"/>
              <c:showSerName val="0"/>
              <c:showPercent val="0"/>
              <c:showBubbleSize val="0"/>
            </c:dLbl>
            <c:dLbl>
              <c:idx val="5"/>
              <c:layout>
                <c:manualLayout>
                  <c:x val="-5.1582239720034999E-2"/>
                  <c:y val="-8.3333333333333329E-2"/>
                </c:manualLayout>
              </c:layout>
              <c:tx>
                <c:rich>
                  <a:bodyPr/>
                  <a:lstStyle/>
                  <a:p>
                    <a:r>
                      <a:rPr lang="en-US">
                        <a:latin typeface="Century Gothic" panose="020B0502020202020204" pitchFamily="34" charset="0"/>
                      </a:rPr>
                      <a:t> 146,895 </a:t>
                    </a:r>
                    <a:endParaRPr lang="en-US">
                      <a:latin typeface="Myriad Pro Cond" pitchFamily="34" charset="0"/>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7086897646517531E-2"/>
                  <c:y val="-5.980642712886371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Century Gothic" panose="020B0502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HistoricalProjLine!$B$1:$M$1</c:f>
              <c:numCache>
                <c:formatCode>General</c:formatCode>
                <c:ptCount val="12"/>
                <c:pt idx="0">
                  <c:v>1960</c:v>
                </c:pt>
                <c:pt idx="1">
                  <c:v>1970</c:v>
                </c:pt>
                <c:pt idx="2">
                  <c:v>1980</c:v>
                </c:pt>
                <c:pt idx="3">
                  <c:v>1990</c:v>
                </c:pt>
                <c:pt idx="4">
                  <c:v>2000</c:v>
                </c:pt>
                <c:pt idx="5">
                  <c:v>2010</c:v>
                </c:pt>
                <c:pt idx="6">
                  <c:v>2015</c:v>
                </c:pt>
                <c:pt idx="7">
                  <c:v>2020</c:v>
                </c:pt>
                <c:pt idx="8">
                  <c:v>2025</c:v>
                </c:pt>
                <c:pt idx="9">
                  <c:v>2030</c:v>
                </c:pt>
                <c:pt idx="10">
                  <c:v>2035</c:v>
                </c:pt>
                <c:pt idx="11">
                  <c:v>2040</c:v>
                </c:pt>
              </c:numCache>
            </c:numRef>
          </c:cat>
          <c:val>
            <c:numRef>
              <c:f>HistoricalProjLine!$B$3:$M$3</c:f>
              <c:numCache>
                <c:formatCode>_(* #,##0_);_(* \(#,##0\);_(* "-"??_);_(@_)</c:formatCode>
                <c:ptCount val="12"/>
                <c:pt idx="0">
                  <c:v>65977</c:v>
                </c:pt>
                <c:pt idx="1">
                  <c:v>77888</c:v>
                </c:pt>
                <c:pt idx="2">
                  <c:v>96447</c:v>
                </c:pt>
                <c:pt idx="3">
                  <c:v>121028</c:v>
                </c:pt>
                <c:pt idx="4">
                  <c:v>132457</c:v>
                </c:pt>
                <c:pt idx="5">
                  <c:v>146895</c:v>
                </c:pt>
                <c:pt idx="6">
                  <c:v>150625.86787174936</c:v>
                </c:pt>
                <c:pt idx="7">
                  <c:v>155143.10424193792</c:v>
                </c:pt>
                <c:pt idx="8">
                  <c:v>158809.1012948298</c:v>
                </c:pt>
                <c:pt idx="9">
                  <c:v>162042.29822146479</c:v>
                </c:pt>
                <c:pt idx="10">
                  <c:v>164467.62977698006</c:v>
                </c:pt>
                <c:pt idx="11">
                  <c:v>165693.36167832694</c:v>
                </c:pt>
              </c:numCache>
            </c:numRef>
          </c:val>
          <c:smooth val="0"/>
        </c:ser>
        <c:dLbls>
          <c:showLegendKey val="0"/>
          <c:showVal val="0"/>
          <c:showCatName val="0"/>
          <c:showSerName val="0"/>
          <c:showPercent val="0"/>
          <c:showBubbleSize val="0"/>
        </c:dLbls>
        <c:marker val="1"/>
        <c:smooth val="0"/>
        <c:axId val="221989888"/>
        <c:axId val="222008064"/>
      </c:lineChart>
      <c:catAx>
        <c:axId val="221989888"/>
        <c:scaling>
          <c:orientation val="minMax"/>
        </c:scaling>
        <c:delete val="0"/>
        <c:axPos val="b"/>
        <c:numFmt formatCode="General" sourceLinked="1"/>
        <c:majorTickMark val="out"/>
        <c:minorTickMark val="none"/>
        <c:tickLblPos val="nextTo"/>
        <c:crossAx val="222008064"/>
        <c:crosses val="autoZero"/>
        <c:auto val="1"/>
        <c:lblAlgn val="ctr"/>
        <c:lblOffset val="100"/>
        <c:noMultiLvlLbl val="0"/>
      </c:catAx>
      <c:valAx>
        <c:axId val="222008064"/>
        <c:scaling>
          <c:orientation val="minMax"/>
        </c:scaling>
        <c:delete val="0"/>
        <c:axPos val="l"/>
        <c:majorGridlines/>
        <c:title>
          <c:tx>
            <c:rich>
              <a:bodyPr rot="-5400000" vert="horz"/>
              <a:lstStyle/>
              <a:p>
                <a:pPr>
                  <a:defRPr/>
                </a:pPr>
                <a:r>
                  <a:rPr lang="en-US"/>
                  <a:t>SRPC Region</a:t>
                </a:r>
              </a:p>
            </c:rich>
          </c:tx>
          <c:overlay val="0"/>
        </c:title>
        <c:numFmt formatCode="_(* #,##0_);_(* \(#,##0\);_(* &quot;-&quot;??_);_(@_)" sourceLinked="1"/>
        <c:majorTickMark val="out"/>
        <c:minorTickMark val="none"/>
        <c:tickLblPos val="nextTo"/>
        <c:crossAx val="221989888"/>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HistoricalProjLine!$A$4</c:f>
              <c:strCache>
                <c:ptCount val="1"/>
                <c:pt idx="0">
                  <c:v>State</c:v>
                </c:pt>
              </c:strCache>
            </c:strRef>
          </c:tx>
          <c:spPr>
            <a:ln>
              <a:solidFill>
                <a:srgbClr val="C0504D">
                  <a:lumMod val="75000"/>
                </a:srgbClr>
              </a:solidFill>
            </a:ln>
          </c:spPr>
          <c:marker>
            <c:symbol val="none"/>
          </c:marker>
          <c:dPt>
            <c:idx val="0"/>
            <c:bubble3D val="0"/>
            <c:spPr>
              <a:ln>
                <a:solidFill>
                  <a:srgbClr val="C0504D">
                    <a:lumMod val="75000"/>
                  </a:srgbClr>
                </a:solidFill>
                <a:prstDash val="sysDash"/>
              </a:ln>
            </c:spPr>
          </c:dPt>
          <c:dPt>
            <c:idx val="6"/>
            <c:bubble3D val="0"/>
            <c:spPr>
              <a:ln>
                <a:solidFill>
                  <a:srgbClr val="C0504D">
                    <a:lumMod val="75000"/>
                  </a:srgbClr>
                </a:solidFill>
                <a:prstDash val="sysDash"/>
              </a:ln>
            </c:spPr>
          </c:dPt>
          <c:dPt>
            <c:idx val="7"/>
            <c:bubble3D val="0"/>
            <c:spPr>
              <a:ln>
                <a:solidFill>
                  <a:srgbClr val="C0504D">
                    <a:lumMod val="75000"/>
                  </a:srgbClr>
                </a:solidFill>
                <a:prstDash val="sysDash"/>
              </a:ln>
            </c:spPr>
          </c:dPt>
          <c:dPt>
            <c:idx val="8"/>
            <c:bubble3D val="0"/>
            <c:spPr>
              <a:ln>
                <a:solidFill>
                  <a:srgbClr val="C0504D">
                    <a:lumMod val="75000"/>
                  </a:srgbClr>
                </a:solidFill>
                <a:prstDash val="sysDash"/>
              </a:ln>
            </c:spPr>
          </c:dPt>
          <c:dPt>
            <c:idx val="9"/>
            <c:bubble3D val="0"/>
            <c:spPr>
              <a:ln>
                <a:solidFill>
                  <a:srgbClr val="C0504D">
                    <a:lumMod val="75000"/>
                  </a:srgbClr>
                </a:solidFill>
                <a:prstDash val="sysDash"/>
              </a:ln>
            </c:spPr>
          </c:dPt>
          <c:dPt>
            <c:idx val="10"/>
            <c:bubble3D val="0"/>
            <c:spPr>
              <a:ln>
                <a:solidFill>
                  <a:srgbClr val="C0504D">
                    <a:lumMod val="75000"/>
                  </a:srgbClr>
                </a:solidFill>
                <a:prstDash val="sysDash"/>
              </a:ln>
            </c:spPr>
          </c:dPt>
          <c:dPt>
            <c:idx val="11"/>
            <c:bubble3D val="0"/>
            <c:spPr>
              <a:ln>
                <a:solidFill>
                  <a:srgbClr val="C0504D">
                    <a:lumMod val="75000"/>
                  </a:srgbClr>
                </a:solidFill>
                <a:prstDash val="sysDash"/>
              </a:ln>
            </c:spPr>
          </c:dPt>
          <c:dLbls>
            <c:dLbl>
              <c:idx val="0"/>
              <c:layout>
                <c:manualLayout>
                  <c:x val="-4.4478224638581719E-2"/>
                  <c:y val="5.117646340407884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2777777777777778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6.58316115565340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HistoricalProjLine!$B$1:$M$1</c:f>
              <c:numCache>
                <c:formatCode>General</c:formatCode>
                <c:ptCount val="12"/>
                <c:pt idx="0">
                  <c:v>1960</c:v>
                </c:pt>
                <c:pt idx="1">
                  <c:v>1970</c:v>
                </c:pt>
                <c:pt idx="2">
                  <c:v>1980</c:v>
                </c:pt>
                <c:pt idx="3">
                  <c:v>1990</c:v>
                </c:pt>
                <c:pt idx="4">
                  <c:v>2000</c:v>
                </c:pt>
                <c:pt idx="5">
                  <c:v>2010</c:v>
                </c:pt>
                <c:pt idx="6">
                  <c:v>2015</c:v>
                </c:pt>
                <c:pt idx="7">
                  <c:v>2020</c:v>
                </c:pt>
                <c:pt idx="8">
                  <c:v>2025</c:v>
                </c:pt>
                <c:pt idx="9">
                  <c:v>2030</c:v>
                </c:pt>
                <c:pt idx="10">
                  <c:v>2035</c:v>
                </c:pt>
                <c:pt idx="11">
                  <c:v>2040</c:v>
                </c:pt>
              </c:numCache>
            </c:numRef>
          </c:cat>
          <c:val>
            <c:numRef>
              <c:f>HistoricalProjLine!$B$4:$M$4</c:f>
              <c:numCache>
                <c:formatCode>_(* #,##0_);_(* \(#,##0\);_(* "-"??_);_(@_)</c:formatCode>
                <c:ptCount val="12"/>
                <c:pt idx="0">
                  <c:v>606400</c:v>
                </c:pt>
                <c:pt idx="1">
                  <c:v>737579</c:v>
                </c:pt>
                <c:pt idx="2">
                  <c:v>920475</c:v>
                </c:pt>
                <c:pt idx="3">
                  <c:v>1109117</c:v>
                </c:pt>
                <c:pt idx="4">
                  <c:v>1235550</c:v>
                </c:pt>
                <c:pt idx="5">
                  <c:v>1316256</c:v>
                </c:pt>
                <c:pt idx="6">
                  <c:v>1330834</c:v>
                </c:pt>
                <c:pt idx="7">
                  <c:v>1359836</c:v>
                </c:pt>
                <c:pt idx="8">
                  <c:v>1388883.9999999998</c:v>
                </c:pt>
                <c:pt idx="9">
                  <c:v>1412041</c:v>
                </c:pt>
                <c:pt idx="10">
                  <c:v>1425357.0000000002</c:v>
                </c:pt>
                <c:pt idx="11">
                  <c:v>1427098</c:v>
                </c:pt>
              </c:numCache>
            </c:numRef>
          </c:val>
          <c:smooth val="0"/>
        </c:ser>
        <c:dLbls>
          <c:showLegendKey val="0"/>
          <c:showVal val="0"/>
          <c:showCatName val="0"/>
          <c:showSerName val="0"/>
          <c:showPercent val="0"/>
          <c:showBubbleSize val="0"/>
        </c:dLbls>
        <c:marker val="1"/>
        <c:smooth val="0"/>
        <c:axId val="222056448"/>
        <c:axId val="222057984"/>
      </c:lineChart>
      <c:catAx>
        <c:axId val="222056448"/>
        <c:scaling>
          <c:orientation val="minMax"/>
        </c:scaling>
        <c:delete val="0"/>
        <c:axPos val="b"/>
        <c:numFmt formatCode="General" sourceLinked="1"/>
        <c:majorTickMark val="out"/>
        <c:minorTickMark val="none"/>
        <c:tickLblPos val="nextTo"/>
        <c:crossAx val="222057984"/>
        <c:crosses val="autoZero"/>
        <c:auto val="1"/>
        <c:lblAlgn val="ctr"/>
        <c:lblOffset val="100"/>
        <c:noMultiLvlLbl val="0"/>
      </c:catAx>
      <c:valAx>
        <c:axId val="222057984"/>
        <c:scaling>
          <c:orientation val="minMax"/>
        </c:scaling>
        <c:delete val="0"/>
        <c:axPos val="l"/>
        <c:majorGridlines/>
        <c:title>
          <c:tx>
            <c:rich>
              <a:bodyPr rot="-5400000" vert="horz"/>
              <a:lstStyle/>
              <a:p>
                <a:pPr>
                  <a:defRPr b="1"/>
                </a:pPr>
                <a:r>
                  <a:rPr lang="en-US" b="1"/>
                  <a:t>New Hampshire</a:t>
                </a:r>
              </a:p>
            </c:rich>
          </c:tx>
          <c:overlay val="0"/>
        </c:title>
        <c:numFmt formatCode="_(* #,##0_);_(* \(#,##0\);_(* &quot;-&quot;??_);_(@_)" sourceLinked="1"/>
        <c:majorTickMark val="out"/>
        <c:minorTickMark val="none"/>
        <c:tickLblPos val="nextTo"/>
        <c:crossAx val="222056448"/>
        <c:crosses val="autoZero"/>
        <c:crossBetween val="between"/>
      </c:valAx>
      <c:spPr>
        <a:noFill/>
      </c:spPr>
    </c:plotArea>
    <c:plotVisOnly val="1"/>
    <c:dispBlanksAs val="gap"/>
    <c:showDLblsOverMax val="0"/>
  </c:chart>
  <c:spPr>
    <a:ln>
      <a:noFill/>
    </a:ln>
  </c:spPr>
  <c:txPr>
    <a:bodyPr/>
    <a:lstStyle/>
    <a:p>
      <a:pPr>
        <a:defRPr>
          <a:latin typeface="Century Gothic" panose="020B0502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Figure 2: Newmarket Projected Population</a:t>
            </a:r>
          </a:p>
          <a:p>
            <a:pPr>
              <a:defRPr/>
            </a:pPr>
            <a:r>
              <a:rPr lang="en-US" sz="900" b="0"/>
              <a:t>Source:</a:t>
            </a:r>
            <a:r>
              <a:rPr lang="en-US" sz="900" b="0" baseline="0"/>
              <a:t> RLS, NH Office of Energy and Planning</a:t>
            </a:r>
            <a:endParaRPr lang="en-US" sz="900" b="0"/>
          </a:p>
        </c:rich>
      </c:tx>
      <c:overlay val="0"/>
    </c:title>
    <c:autoTitleDeleted val="0"/>
    <c:plotArea>
      <c:layout/>
      <c:lineChart>
        <c:grouping val="standard"/>
        <c:varyColors val="0"/>
        <c:ser>
          <c:idx val="0"/>
          <c:order val="0"/>
          <c:tx>
            <c:strRef>
              <c:f>Sheet1!$A$2</c:f>
              <c:strCache>
                <c:ptCount val="1"/>
                <c:pt idx="0">
                  <c:v>Newmarket</c:v>
                </c:pt>
              </c:strCache>
            </c:strRef>
          </c:tx>
          <c:spPr>
            <a:ln>
              <a:solidFill>
                <a:schemeClr val="accent2">
                  <a:lumMod val="75000"/>
                </a:schemeClr>
              </a:solidFill>
            </a:ln>
          </c:spPr>
          <c:marker>
            <c:symbol val="none"/>
          </c:marker>
          <c:dLbls>
            <c:dLbl>
              <c:idx val="1"/>
              <c:layout>
                <c:manualLayout>
                  <c:x val="-5.6357632715265428E-2"/>
                  <c:y val="-7.4610967283046115E-2"/>
                </c:manualLayout>
              </c:layout>
              <c:dLblPos val="r"/>
              <c:showLegendKey val="0"/>
              <c:showVal val="1"/>
              <c:showCatName val="0"/>
              <c:showSerName val="0"/>
              <c:showPercent val="0"/>
              <c:showBubbleSize val="0"/>
            </c:dLbl>
            <c:dLbl>
              <c:idx val="2"/>
              <c:layout>
                <c:manualLayout>
                  <c:x val="-5.6357632715265379E-2"/>
                  <c:y val="-6.786722906965352E-2"/>
                </c:manualLayout>
              </c:layout>
              <c:dLblPos val="r"/>
              <c:showLegendKey val="0"/>
              <c:showVal val="1"/>
              <c:showCatName val="0"/>
              <c:showSerName val="0"/>
              <c:showPercent val="0"/>
              <c:showBubbleSize val="0"/>
            </c:dLbl>
            <c:dLbl>
              <c:idx val="3"/>
              <c:layout>
                <c:manualLayout>
                  <c:x val="-5.6357632715265428E-2"/>
                  <c:y val="-5.4379752642868352E-2"/>
                </c:manualLayout>
              </c:layout>
              <c:dLblPos val="r"/>
              <c:showLegendKey val="0"/>
              <c:showVal val="1"/>
              <c:showCatName val="0"/>
              <c:showSerName val="0"/>
              <c:showPercent val="0"/>
              <c:showBubbleSize val="0"/>
            </c:dLbl>
            <c:dLbl>
              <c:idx val="4"/>
              <c:layout>
                <c:manualLayout>
                  <c:x val="-6.380386927440522E-2"/>
                  <c:y val="-7.4610967283046115E-2"/>
                </c:manualLayout>
              </c:layout>
              <c:dLblPos val="r"/>
              <c:showLegendKey val="0"/>
              <c:showVal val="1"/>
              <c:showCatName val="0"/>
              <c:showSerName val="0"/>
              <c:showPercent val="0"/>
              <c:showBubbleSize val="0"/>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2010</c:v>
                </c:pt>
                <c:pt idx="1">
                  <c:v>2015</c:v>
                </c:pt>
                <c:pt idx="2">
                  <c:v>2020</c:v>
                </c:pt>
                <c:pt idx="3">
                  <c:v>2025</c:v>
                </c:pt>
                <c:pt idx="4">
                  <c:v>2030</c:v>
                </c:pt>
                <c:pt idx="5">
                  <c:v>2035</c:v>
                </c:pt>
                <c:pt idx="6">
                  <c:v>2040</c:v>
                </c:pt>
              </c:numCache>
            </c:numRef>
          </c:cat>
          <c:val>
            <c:numRef>
              <c:f>Sheet1!$B$2:$H$2</c:f>
              <c:numCache>
                <c:formatCode>#,##0</c:formatCode>
                <c:ptCount val="7"/>
                <c:pt idx="0">
                  <c:v>8936</c:v>
                </c:pt>
                <c:pt idx="1">
                  <c:v>9257.4010573898067</c:v>
                </c:pt>
                <c:pt idx="2">
                  <c:v>9695.9101433730702</c:v>
                </c:pt>
                <c:pt idx="3">
                  <c:v>9909.2494248469829</c:v>
                </c:pt>
                <c:pt idx="4">
                  <c:v>10081.323732741965</c:v>
                </c:pt>
                <c:pt idx="5">
                  <c:v>10169.003902482798</c:v>
                </c:pt>
                <c:pt idx="6">
                  <c:v>10149.60367753834</c:v>
                </c:pt>
              </c:numCache>
            </c:numRef>
          </c:val>
          <c:smooth val="0"/>
        </c:ser>
        <c:dLbls>
          <c:dLblPos val="t"/>
          <c:showLegendKey val="0"/>
          <c:showVal val="1"/>
          <c:showCatName val="0"/>
          <c:showSerName val="0"/>
          <c:showPercent val="0"/>
          <c:showBubbleSize val="0"/>
        </c:dLbls>
        <c:marker val="1"/>
        <c:smooth val="0"/>
        <c:axId val="171447040"/>
        <c:axId val="171449728"/>
      </c:lineChart>
      <c:catAx>
        <c:axId val="171447040"/>
        <c:scaling>
          <c:orientation val="minMax"/>
        </c:scaling>
        <c:delete val="0"/>
        <c:axPos val="b"/>
        <c:numFmt formatCode="General" sourceLinked="1"/>
        <c:majorTickMark val="out"/>
        <c:minorTickMark val="none"/>
        <c:tickLblPos val="nextTo"/>
        <c:crossAx val="171449728"/>
        <c:crosses val="autoZero"/>
        <c:auto val="1"/>
        <c:lblAlgn val="ctr"/>
        <c:lblOffset val="100"/>
        <c:noMultiLvlLbl val="0"/>
      </c:catAx>
      <c:valAx>
        <c:axId val="171449728"/>
        <c:scaling>
          <c:orientation val="minMax"/>
        </c:scaling>
        <c:delete val="0"/>
        <c:axPos val="l"/>
        <c:majorGridlines/>
        <c:numFmt formatCode="#,##0" sourceLinked="1"/>
        <c:majorTickMark val="out"/>
        <c:minorTickMark val="none"/>
        <c:tickLblPos val="nextTo"/>
        <c:crossAx val="171447040"/>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000"/>
              <a:t>Figure 3: Age</a:t>
            </a:r>
            <a:r>
              <a:rPr lang="en-US" sz="1000" baseline="0"/>
              <a:t> Cohorts</a:t>
            </a:r>
          </a:p>
          <a:p>
            <a:pPr>
              <a:defRPr/>
            </a:pPr>
            <a:r>
              <a:rPr lang="en-US" sz="950" b="0" baseline="0"/>
              <a:t>Source: U.S. Census Bureau</a:t>
            </a:r>
            <a:endParaRPr lang="en-US" sz="950" b="0"/>
          </a:p>
        </c:rich>
      </c:tx>
      <c:overlay val="0"/>
    </c:title>
    <c:autoTitleDeleted val="0"/>
    <c:plotArea>
      <c:layout/>
      <c:barChart>
        <c:barDir val="col"/>
        <c:grouping val="clustered"/>
        <c:varyColors val="0"/>
        <c:ser>
          <c:idx val="0"/>
          <c:order val="0"/>
          <c:tx>
            <c:strRef>
              <c:f>Sheet1!$A$8</c:f>
              <c:strCache>
                <c:ptCount val="1"/>
                <c:pt idx="0">
                  <c:v>1990</c:v>
                </c:pt>
              </c:strCache>
            </c:strRef>
          </c:tx>
          <c:spPr>
            <a:solidFill>
              <a:schemeClr val="accent2">
                <a:lumMod val="75000"/>
              </a:schemeClr>
            </a:solidFill>
          </c:spPr>
          <c:invertIfNegative val="0"/>
          <c:cat>
            <c:strRef>
              <c:f>Sheet1!$B$7:$M$7</c:f>
              <c:strCache>
                <c:ptCount val="12"/>
                <c:pt idx="0">
                  <c:v>Under 5</c:v>
                </c:pt>
                <c:pt idx="1">
                  <c:v>5-9</c:v>
                </c:pt>
                <c:pt idx="2">
                  <c:v>10-14</c:v>
                </c:pt>
                <c:pt idx="3">
                  <c:v>15-19</c:v>
                </c:pt>
                <c:pt idx="4">
                  <c:v>20-24</c:v>
                </c:pt>
                <c:pt idx="5">
                  <c:v>25-34</c:v>
                </c:pt>
                <c:pt idx="6">
                  <c:v>35-44</c:v>
                </c:pt>
                <c:pt idx="7">
                  <c:v>45-54</c:v>
                </c:pt>
                <c:pt idx="8">
                  <c:v>55-59</c:v>
                </c:pt>
                <c:pt idx="9">
                  <c:v>60-64</c:v>
                </c:pt>
                <c:pt idx="10">
                  <c:v>65-74</c:v>
                </c:pt>
                <c:pt idx="11">
                  <c:v>75 and Over</c:v>
                </c:pt>
              </c:strCache>
            </c:strRef>
          </c:cat>
          <c:val>
            <c:numRef>
              <c:f>Sheet1!$B$8:$M$8</c:f>
              <c:numCache>
                <c:formatCode>General</c:formatCode>
                <c:ptCount val="12"/>
                <c:pt idx="0">
                  <c:v>680</c:v>
                </c:pt>
                <c:pt idx="1">
                  <c:v>485</c:v>
                </c:pt>
                <c:pt idx="2">
                  <c:v>346</c:v>
                </c:pt>
                <c:pt idx="3">
                  <c:v>259</c:v>
                </c:pt>
                <c:pt idx="4">
                  <c:v>927</c:v>
                </c:pt>
                <c:pt idx="5">
                  <c:v>1864</c:v>
                </c:pt>
                <c:pt idx="6">
                  <c:v>1184</c:v>
                </c:pt>
                <c:pt idx="7">
                  <c:v>463</c:v>
                </c:pt>
                <c:pt idx="8">
                  <c:v>185</c:v>
                </c:pt>
                <c:pt idx="9">
                  <c:v>220</c:v>
                </c:pt>
                <c:pt idx="10">
                  <c:v>400</c:v>
                </c:pt>
                <c:pt idx="11">
                  <c:v>144</c:v>
                </c:pt>
              </c:numCache>
            </c:numRef>
          </c:val>
        </c:ser>
        <c:ser>
          <c:idx val="1"/>
          <c:order val="1"/>
          <c:tx>
            <c:strRef>
              <c:f>Sheet1!$A$9</c:f>
              <c:strCache>
                <c:ptCount val="1"/>
                <c:pt idx="0">
                  <c:v>2000</c:v>
                </c:pt>
              </c:strCache>
            </c:strRef>
          </c:tx>
          <c:spPr>
            <a:solidFill>
              <a:schemeClr val="tx1">
                <a:lumMod val="65000"/>
                <a:lumOff val="35000"/>
              </a:schemeClr>
            </a:solidFill>
          </c:spPr>
          <c:invertIfNegative val="0"/>
          <c:cat>
            <c:strRef>
              <c:f>Sheet1!$B$7:$M$7</c:f>
              <c:strCache>
                <c:ptCount val="12"/>
                <c:pt idx="0">
                  <c:v>Under 5</c:v>
                </c:pt>
                <c:pt idx="1">
                  <c:v>5-9</c:v>
                </c:pt>
                <c:pt idx="2">
                  <c:v>10-14</c:v>
                </c:pt>
                <c:pt idx="3">
                  <c:v>15-19</c:v>
                </c:pt>
                <c:pt idx="4">
                  <c:v>20-24</c:v>
                </c:pt>
                <c:pt idx="5">
                  <c:v>25-34</c:v>
                </c:pt>
                <c:pt idx="6">
                  <c:v>35-44</c:v>
                </c:pt>
                <c:pt idx="7">
                  <c:v>45-54</c:v>
                </c:pt>
                <c:pt idx="8">
                  <c:v>55-59</c:v>
                </c:pt>
                <c:pt idx="9">
                  <c:v>60-64</c:v>
                </c:pt>
                <c:pt idx="10">
                  <c:v>65-74</c:v>
                </c:pt>
                <c:pt idx="11">
                  <c:v>75 and Over</c:v>
                </c:pt>
              </c:strCache>
            </c:strRef>
          </c:cat>
          <c:val>
            <c:numRef>
              <c:f>Sheet1!$B$9:$M$9</c:f>
              <c:numCache>
                <c:formatCode>General</c:formatCode>
                <c:ptCount val="12"/>
                <c:pt idx="0">
                  <c:v>499</c:v>
                </c:pt>
                <c:pt idx="1">
                  <c:v>512</c:v>
                </c:pt>
                <c:pt idx="2">
                  <c:v>481</c:v>
                </c:pt>
                <c:pt idx="3">
                  <c:v>465</c:v>
                </c:pt>
                <c:pt idx="4">
                  <c:v>891</c:v>
                </c:pt>
                <c:pt idx="5">
                  <c:v>1513</c:v>
                </c:pt>
                <c:pt idx="6">
                  <c:v>1471</c:v>
                </c:pt>
                <c:pt idx="7">
                  <c:v>1038</c:v>
                </c:pt>
                <c:pt idx="8">
                  <c:v>264</c:v>
                </c:pt>
                <c:pt idx="9">
                  <c:v>218</c:v>
                </c:pt>
                <c:pt idx="10">
                  <c:v>357</c:v>
                </c:pt>
                <c:pt idx="11">
                  <c:v>318</c:v>
                </c:pt>
              </c:numCache>
            </c:numRef>
          </c:val>
        </c:ser>
        <c:ser>
          <c:idx val="2"/>
          <c:order val="2"/>
          <c:tx>
            <c:strRef>
              <c:f>Sheet1!$A$10</c:f>
              <c:strCache>
                <c:ptCount val="1"/>
                <c:pt idx="0">
                  <c:v>2010</c:v>
                </c:pt>
              </c:strCache>
            </c:strRef>
          </c:tx>
          <c:spPr>
            <a:solidFill>
              <a:schemeClr val="bg2">
                <a:lumMod val="75000"/>
              </a:schemeClr>
            </a:solidFill>
          </c:spPr>
          <c:invertIfNegative val="0"/>
          <c:cat>
            <c:strRef>
              <c:f>Sheet1!$B$7:$M$7</c:f>
              <c:strCache>
                <c:ptCount val="12"/>
                <c:pt idx="0">
                  <c:v>Under 5</c:v>
                </c:pt>
                <c:pt idx="1">
                  <c:v>5-9</c:v>
                </c:pt>
                <c:pt idx="2">
                  <c:v>10-14</c:v>
                </c:pt>
                <c:pt idx="3">
                  <c:v>15-19</c:v>
                </c:pt>
                <c:pt idx="4">
                  <c:v>20-24</c:v>
                </c:pt>
                <c:pt idx="5">
                  <c:v>25-34</c:v>
                </c:pt>
                <c:pt idx="6">
                  <c:v>35-44</c:v>
                </c:pt>
                <c:pt idx="7">
                  <c:v>45-54</c:v>
                </c:pt>
                <c:pt idx="8">
                  <c:v>55-59</c:v>
                </c:pt>
                <c:pt idx="9">
                  <c:v>60-64</c:v>
                </c:pt>
                <c:pt idx="10">
                  <c:v>65-74</c:v>
                </c:pt>
                <c:pt idx="11">
                  <c:v>75 and Over</c:v>
                </c:pt>
              </c:strCache>
            </c:strRef>
          </c:cat>
          <c:val>
            <c:numRef>
              <c:f>Sheet1!$B$10:$M$10</c:f>
              <c:numCache>
                <c:formatCode>General</c:formatCode>
                <c:ptCount val="12"/>
                <c:pt idx="0">
                  <c:v>583</c:v>
                </c:pt>
                <c:pt idx="1">
                  <c:v>488</c:v>
                </c:pt>
                <c:pt idx="2">
                  <c:v>425</c:v>
                </c:pt>
                <c:pt idx="3">
                  <c:v>444</c:v>
                </c:pt>
                <c:pt idx="4">
                  <c:v>979</c:v>
                </c:pt>
                <c:pt idx="5">
                  <c:v>1451</c:v>
                </c:pt>
                <c:pt idx="6">
                  <c:v>1248</c:v>
                </c:pt>
                <c:pt idx="7">
                  <c:v>1375</c:v>
                </c:pt>
                <c:pt idx="8">
                  <c:v>600</c:v>
                </c:pt>
                <c:pt idx="9">
                  <c:v>472</c:v>
                </c:pt>
                <c:pt idx="10">
                  <c:v>467</c:v>
                </c:pt>
                <c:pt idx="11">
                  <c:v>404</c:v>
                </c:pt>
              </c:numCache>
            </c:numRef>
          </c:val>
        </c:ser>
        <c:dLbls>
          <c:showLegendKey val="0"/>
          <c:showVal val="0"/>
          <c:showCatName val="0"/>
          <c:showSerName val="0"/>
          <c:showPercent val="0"/>
          <c:showBubbleSize val="0"/>
        </c:dLbls>
        <c:gapWidth val="150"/>
        <c:axId val="231539456"/>
        <c:axId val="231540992"/>
      </c:barChart>
      <c:catAx>
        <c:axId val="231539456"/>
        <c:scaling>
          <c:orientation val="minMax"/>
        </c:scaling>
        <c:delete val="0"/>
        <c:axPos val="b"/>
        <c:numFmt formatCode="General" sourceLinked="0"/>
        <c:majorTickMark val="out"/>
        <c:minorTickMark val="none"/>
        <c:tickLblPos val="nextTo"/>
        <c:crossAx val="231540992"/>
        <c:crosses val="autoZero"/>
        <c:auto val="1"/>
        <c:lblAlgn val="ctr"/>
        <c:lblOffset val="100"/>
        <c:noMultiLvlLbl val="0"/>
      </c:catAx>
      <c:valAx>
        <c:axId val="231540992"/>
        <c:scaling>
          <c:orientation val="minMax"/>
        </c:scaling>
        <c:delete val="0"/>
        <c:axPos val="l"/>
        <c:numFmt formatCode="General" sourceLinked="1"/>
        <c:majorTickMark val="out"/>
        <c:minorTickMark val="none"/>
        <c:tickLblPos val="nextTo"/>
        <c:crossAx val="231539456"/>
        <c:crosses val="autoZero"/>
        <c:crossBetween val="between"/>
      </c:valAx>
      <c:spPr>
        <a:noFill/>
      </c:spPr>
    </c:plotArea>
    <c:legend>
      <c:legendPos val="r"/>
      <c:overlay val="0"/>
    </c:legend>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Figure 4: Newmarket School District Enrollment (K-12)</a:t>
            </a:r>
          </a:p>
          <a:p>
            <a:pPr>
              <a:defRPr/>
            </a:pPr>
            <a:r>
              <a:rPr lang="en-US" sz="900" b="0"/>
              <a:t>Source:</a:t>
            </a:r>
            <a:r>
              <a:rPr lang="en-US" sz="900" b="0" baseline="0"/>
              <a:t> NH Department Of Education</a:t>
            </a:r>
            <a:endParaRPr lang="en-US" sz="900" b="0"/>
          </a:p>
        </c:rich>
      </c:tx>
      <c:overlay val="0"/>
    </c:title>
    <c:autoTitleDeleted val="0"/>
    <c:plotArea>
      <c:layout>
        <c:manualLayout>
          <c:layoutTarget val="inner"/>
          <c:xMode val="edge"/>
          <c:yMode val="edge"/>
          <c:x val="7.5113858733634631E-2"/>
          <c:y val="0.19476851851851851"/>
          <c:w val="0.90454590457997486"/>
          <c:h val="0.71317949839603378"/>
        </c:manualLayout>
      </c:layout>
      <c:lineChart>
        <c:grouping val="standard"/>
        <c:varyColors val="0"/>
        <c:ser>
          <c:idx val="0"/>
          <c:order val="0"/>
          <c:tx>
            <c:strRef>
              <c:f>'Enrollment Change'!$A$2</c:f>
              <c:strCache>
                <c:ptCount val="1"/>
                <c:pt idx="0">
                  <c:v>Newmarket School District</c:v>
                </c:pt>
              </c:strCache>
            </c:strRef>
          </c:tx>
          <c:spPr>
            <a:ln>
              <a:solidFill>
                <a:schemeClr val="tx1">
                  <a:lumMod val="65000"/>
                  <a:lumOff val="35000"/>
                </a:schemeClr>
              </a:solidFill>
            </a:ln>
          </c:spPr>
          <c:marker>
            <c:symbol val="none"/>
          </c:marker>
          <c:dLbls>
            <c:numFmt formatCode="#,##0" sourceLinked="0"/>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'Enrollment Change'!$B$1:$N$1</c:f>
              <c:strCache>
                <c:ptCount val="13"/>
                <c:pt idx="0">
                  <c:v>01-02</c:v>
                </c:pt>
                <c:pt idx="1">
                  <c:v>02-03</c:v>
                </c:pt>
                <c:pt idx="2">
                  <c:v>03-04</c:v>
                </c:pt>
                <c:pt idx="3">
                  <c:v>04-05</c:v>
                </c:pt>
                <c:pt idx="4">
                  <c:v>05-06</c:v>
                </c:pt>
                <c:pt idx="5">
                  <c:v>06-07</c:v>
                </c:pt>
                <c:pt idx="6">
                  <c:v>07-08</c:v>
                </c:pt>
                <c:pt idx="7">
                  <c:v>08-09</c:v>
                </c:pt>
                <c:pt idx="8">
                  <c:v>09-10</c:v>
                </c:pt>
                <c:pt idx="9">
                  <c:v>10-11</c:v>
                </c:pt>
                <c:pt idx="10">
                  <c:v>11-12</c:v>
                </c:pt>
                <c:pt idx="11">
                  <c:v>12-13</c:v>
                </c:pt>
                <c:pt idx="12">
                  <c:v>13-14</c:v>
                </c:pt>
              </c:strCache>
            </c:strRef>
          </c:cat>
          <c:val>
            <c:numRef>
              <c:f>'Enrollment Change'!$B$2:$N$2</c:f>
              <c:numCache>
                <c:formatCode>General</c:formatCode>
                <c:ptCount val="13"/>
                <c:pt idx="0">
                  <c:v>1152</c:v>
                </c:pt>
                <c:pt idx="1">
                  <c:v>1133</c:v>
                </c:pt>
                <c:pt idx="2">
                  <c:v>1120</c:v>
                </c:pt>
                <c:pt idx="3">
                  <c:v>1143</c:v>
                </c:pt>
                <c:pt idx="4">
                  <c:v>1134</c:v>
                </c:pt>
                <c:pt idx="5">
                  <c:v>1107</c:v>
                </c:pt>
                <c:pt idx="6">
                  <c:v>1081</c:v>
                </c:pt>
                <c:pt idx="7">
                  <c:v>1052</c:v>
                </c:pt>
                <c:pt idx="8">
                  <c:v>1051</c:v>
                </c:pt>
                <c:pt idx="9">
                  <c:v>1033</c:v>
                </c:pt>
                <c:pt idx="10">
                  <c:v>1030</c:v>
                </c:pt>
                <c:pt idx="11">
                  <c:v>1025</c:v>
                </c:pt>
                <c:pt idx="12">
                  <c:v>1007</c:v>
                </c:pt>
              </c:numCache>
            </c:numRef>
          </c:val>
          <c:smooth val="0"/>
        </c:ser>
        <c:dLbls>
          <c:showLegendKey val="0"/>
          <c:showVal val="0"/>
          <c:showCatName val="0"/>
          <c:showSerName val="0"/>
          <c:showPercent val="0"/>
          <c:showBubbleSize val="0"/>
        </c:dLbls>
        <c:marker val="1"/>
        <c:smooth val="0"/>
        <c:axId val="231557760"/>
        <c:axId val="231571840"/>
      </c:lineChart>
      <c:catAx>
        <c:axId val="231557760"/>
        <c:scaling>
          <c:orientation val="minMax"/>
        </c:scaling>
        <c:delete val="0"/>
        <c:axPos val="b"/>
        <c:numFmt formatCode="General" sourceLinked="0"/>
        <c:majorTickMark val="out"/>
        <c:minorTickMark val="none"/>
        <c:tickLblPos val="nextTo"/>
        <c:crossAx val="231571840"/>
        <c:crosses val="autoZero"/>
        <c:auto val="1"/>
        <c:lblAlgn val="ctr"/>
        <c:lblOffset val="100"/>
        <c:noMultiLvlLbl val="0"/>
      </c:catAx>
      <c:valAx>
        <c:axId val="231571840"/>
        <c:scaling>
          <c:orientation val="minMax"/>
          <c:min val="900"/>
        </c:scaling>
        <c:delete val="0"/>
        <c:axPos val="l"/>
        <c:numFmt formatCode="#,##0" sourceLinked="0"/>
        <c:majorTickMark val="out"/>
        <c:minorTickMark val="none"/>
        <c:tickLblPos val="nextTo"/>
        <c:crossAx val="231557760"/>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 5: Project</a:t>
            </a:r>
            <a:r>
              <a:rPr lang="en-US" sz="1000" baseline="0"/>
              <a:t> Total </a:t>
            </a:r>
            <a:r>
              <a:rPr lang="en-US" sz="1000"/>
              <a:t>Enrollment Grades 1-12</a:t>
            </a:r>
          </a:p>
          <a:p>
            <a:pPr>
              <a:defRPr/>
            </a:pPr>
            <a:r>
              <a:rPr lang="en-US" sz="1000" b="0"/>
              <a:t>Source: NESDEC, Newmarket</a:t>
            </a:r>
            <a:r>
              <a:rPr lang="en-US" sz="1000" b="0" baseline="0"/>
              <a:t> School Facilities Report</a:t>
            </a:r>
            <a:r>
              <a:rPr lang="en-US" sz="1000" b="0"/>
              <a:t> </a:t>
            </a:r>
          </a:p>
        </c:rich>
      </c:tx>
      <c:overlay val="0"/>
    </c:title>
    <c:autoTitleDeleted val="0"/>
    <c:plotArea>
      <c:layout/>
      <c:lineChart>
        <c:grouping val="standard"/>
        <c:varyColors val="0"/>
        <c:ser>
          <c:idx val="0"/>
          <c:order val="0"/>
          <c:tx>
            <c:strRef>
              <c:f>Sheet1!$B$1:$B$2</c:f>
              <c:strCache>
                <c:ptCount val="1"/>
                <c:pt idx="0">
                  <c:v>TOTAL ENROLLMENT GRADES 1-12</c:v>
                </c:pt>
              </c:strCache>
            </c:strRef>
          </c:tx>
          <c:spPr>
            <a:ln>
              <a:solidFill>
                <a:schemeClr val="tx1">
                  <a:lumMod val="50000"/>
                  <a:lumOff val="50000"/>
                </a:schemeClr>
              </a:solidFill>
            </a:ln>
          </c:spPr>
          <c:marker>
            <c:symbol val="none"/>
          </c:marker>
          <c:dLbls>
            <c:dLbl>
              <c:idx val="0"/>
              <c:layout>
                <c:manualLayout>
                  <c:x val="-3.4031412296066751E-2"/>
                  <c:y val="-6.6260081386564196E-2"/>
                </c:manualLayout>
              </c:layout>
              <c:dLblPos val="r"/>
              <c:showLegendKey val="0"/>
              <c:showVal val="1"/>
              <c:showCatName val="0"/>
              <c:showSerName val="0"/>
              <c:showPercent val="0"/>
              <c:showBubbleSize val="0"/>
            </c:dLbl>
            <c:dLbl>
              <c:idx val="2"/>
              <c:layout>
                <c:manualLayout>
                  <c:x val="-3.4031412296066751E-2"/>
                  <c:y val="2.6786949632588215E-2"/>
                </c:manualLayout>
              </c:layout>
              <c:dLblPos val="r"/>
              <c:showLegendKey val="0"/>
              <c:showVal val="1"/>
              <c:showCatName val="0"/>
              <c:showSerName val="0"/>
              <c:showPercent val="0"/>
              <c:showBubbleSize val="0"/>
            </c:dLbl>
            <c:dLbl>
              <c:idx val="5"/>
              <c:layout>
                <c:manualLayout>
                  <c:x val="-3.4031412296066751E-2"/>
                  <c:y val="-3.763022568836346E-2"/>
                </c:manualLayout>
              </c:layout>
              <c:dLblPos val="r"/>
              <c:showLegendKey val="0"/>
              <c:showVal val="1"/>
              <c:showCatName val="0"/>
              <c:showSerName val="0"/>
              <c:showPercent val="0"/>
              <c:showBubbleSize val="0"/>
            </c:dLbl>
            <c:dLbl>
              <c:idx val="6"/>
              <c:layout>
                <c:manualLayout>
                  <c:x val="-3.4031412296066751E-2"/>
                  <c:y val="-2.3315297839263085E-2"/>
                </c:manualLayout>
              </c:layout>
              <c:dLblPos val="r"/>
              <c:showLegendKey val="0"/>
              <c:showVal val="1"/>
              <c:showCatName val="0"/>
              <c:showSerName val="0"/>
              <c:showPercent val="0"/>
              <c:showBubbleSize val="0"/>
            </c:dLbl>
            <c:dLbl>
              <c:idx val="7"/>
              <c:layout>
                <c:manualLayout>
                  <c:x val="-3.4031412296066751E-2"/>
                  <c:y val="-6.983881334883929E-2"/>
                </c:manualLayout>
              </c:layout>
              <c:dLblPos val="r"/>
              <c:showLegendKey val="0"/>
              <c:showVal val="1"/>
              <c:showCatName val="0"/>
              <c:showSerName val="0"/>
              <c:showPercent val="0"/>
              <c:showBubbleSize val="0"/>
            </c:dLbl>
            <c:dLbl>
              <c:idx val="8"/>
              <c:layout>
                <c:manualLayout>
                  <c:x val="-3.4031412296066751E-2"/>
                  <c:y val="-6.983881334883929E-2"/>
                </c:manualLayout>
              </c:layout>
              <c:dLblPos val="r"/>
              <c:showLegendKey val="0"/>
              <c:showVal val="1"/>
              <c:showCatName val="0"/>
              <c:showSerName val="0"/>
              <c:showPercent val="0"/>
              <c:showBubbleSize val="0"/>
            </c:dLbl>
            <c:dLbl>
              <c:idx val="10"/>
              <c:layout>
                <c:manualLayout>
                  <c:x val="-3.4031412296066751E-2"/>
                  <c:y val="-5.9102617462014014E-2"/>
                </c:manualLayout>
              </c:layout>
              <c:dLblPos val="r"/>
              <c:showLegendKey val="0"/>
              <c:showVal val="1"/>
              <c:showCatName val="0"/>
              <c:showSerName val="0"/>
              <c:showPercent val="0"/>
              <c:showBubbleSize val="0"/>
            </c:dLbl>
            <c:txPr>
              <a:bodyPr/>
              <a:lstStyle/>
              <a:p>
                <a:pPr>
                  <a:defRPr sz="900"/>
                </a:pPr>
                <a:endParaRPr lang="en-US"/>
              </a:p>
            </c:txPr>
            <c:dLblPos val="t"/>
            <c:showLegendKey val="0"/>
            <c:showVal val="1"/>
            <c:showCatName val="0"/>
            <c:showSerName val="0"/>
            <c:showPercent val="0"/>
            <c:showBubbleSize val="0"/>
            <c:showLeaderLines val="0"/>
          </c:dLbls>
          <c:cat>
            <c:strRef>
              <c:f>Sheet1!$A$3:$A$13</c:f>
              <c:strCache>
                <c:ptCount val="11"/>
                <c:pt idx="0">
                  <c:v>2014-15</c:v>
                </c:pt>
                <c:pt idx="1">
                  <c:v>2015-16</c:v>
                </c:pt>
                <c:pt idx="2">
                  <c:v>2016-17</c:v>
                </c:pt>
                <c:pt idx="3">
                  <c:v>2017-18</c:v>
                </c:pt>
                <c:pt idx="4">
                  <c:v>2018-19</c:v>
                </c:pt>
                <c:pt idx="5">
                  <c:v>2019-20</c:v>
                </c:pt>
                <c:pt idx="6">
                  <c:v>2020-21</c:v>
                </c:pt>
                <c:pt idx="7">
                  <c:v>2021-22</c:v>
                </c:pt>
                <c:pt idx="8">
                  <c:v>2022-23</c:v>
                </c:pt>
                <c:pt idx="9">
                  <c:v>2023-24</c:v>
                </c:pt>
                <c:pt idx="10">
                  <c:v>2024-25</c:v>
                </c:pt>
              </c:strCache>
            </c:strRef>
          </c:cat>
          <c:val>
            <c:numRef>
              <c:f>Sheet1!$B$3:$B$13</c:f>
              <c:numCache>
                <c:formatCode>General</c:formatCode>
                <c:ptCount val="11"/>
                <c:pt idx="0">
                  <c:v>936</c:v>
                </c:pt>
                <c:pt idx="1">
                  <c:v>938</c:v>
                </c:pt>
                <c:pt idx="2">
                  <c:v>924</c:v>
                </c:pt>
                <c:pt idx="3">
                  <c:v>928</c:v>
                </c:pt>
                <c:pt idx="4">
                  <c:v>929</c:v>
                </c:pt>
                <c:pt idx="5">
                  <c:v>930</c:v>
                </c:pt>
                <c:pt idx="6">
                  <c:v>936</c:v>
                </c:pt>
                <c:pt idx="7">
                  <c:v>926</c:v>
                </c:pt>
                <c:pt idx="8">
                  <c:v>911</c:v>
                </c:pt>
                <c:pt idx="9">
                  <c:v>914</c:v>
                </c:pt>
                <c:pt idx="10">
                  <c:v>907</c:v>
                </c:pt>
              </c:numCache>
            </c:numRef>
          </c:val>
          <c:smooth val="0"/>
        </c:ser>
        <c:dLbls>
          <c:showLegendKey val="0"/>
          <c:showVal val="0"/>
          <c:showCatName val="0"/>
          <c:showSerName val="0"/>
          <c:showPercent val="0"/>
          <c:showBubbleSize val="0"/>
        </c:dLbls>
        <c:marker val="1"/>
        <c:smooth val="0"/>
        <c:axId val="231829888"/>
        <c:axId val="231831424"/>
      </c:lineChart>
      <c:catAx>
        <c:axId val="231829888"/>
        <c:scaling>
          <c:orientation val="minMax"/>
        </c:scaling>
        <c:delete val="0"/>
        <c:axPos val="b"/>
        <c:majorTickMark val="out"/>
        <c:minorTickMark val="none"/>
        <c:tickLblPos val="nextTo"/>
        <c:txPr>
          <a:bodyPr/>
          <a:lstStyle/>
          <a:p>
            <a:pPr>
              <a:defRPr sz="1150"/>
            </a:pPr>
            <a:endParaRPr lang="en-US"/>
          </a:p>
        </c:txPr>
        <c:crossAx val="231831424"/>
        <c:crosses val="autoZero"/>
        <c:auto val="1"/>
        <c:lblAlgn val="ctr"/>
        <c:lblOffset val="100"/>
        <c:noMultiLvlLbl val="0"/>
      </c:catAx>
      <c:valAx>
        <c:axId val="231831424"/>
        <c:scaling>
          <c:orientation val="minMax"/>
        </c:scaling>
        <c:delete val="0"/>
        <c:axPos val="l"/>
        <c:majorGridlines/>
        <c:numFmt formatCode="General" sourceLinked="1"/>
        <c:majorTickMark val="out"/>
        <c:minorTickMark val="none"/>
        <c:tickLblPos val="nextTo"/>
        <c:crossAx val="231829888"/>
        <c:crosses val="autoZero"/>
        <c:crossBetween val="between"/>
      </c:valAx>
      <c:spPr>
        <a:noFill/>
      </c:spPr>
    </c:plotArea>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b="1"/>
              <a:t>Figure 6: Newmarket Unemployment</a:t>
            </a:r>
            <a:r>
              <a:rPr lang="en-US" sz="1000" b="1" baseline="0"/>
              <a:t> Rate</a:t>
            </a:r>
            <a:endParaRPr lang="en-US" sz="1000" b="1"/>
          </a:p>
          <a:p>
            <a:pPr>
              <a:defRPr/>
            </a:pPr>
            <a:r>
              <a:rPr lang="en-US" sz="950"/>
              <a:t>Source: New</a:t>
            </a:r>
            <a:r>
              <a:rPr lang="en-US" sz="950" baseline="0"/>
              <a:t> Hampshire Employment Security (NHES)</a:t>
            </a:r>
            <a:endParaRPr lang="en-US" sz="950"/>
          </a:p>
        </c:rich>
      </c:tx>
      <c:overlay val="0"/>
    </c:title>
    <c:autoTitleDeleted val="0"/>
    <c:plotArea>
      <c:layout/>
      <c:lineChart>
        <c:grouping val="standard"/>
        <c:varyColors val="0"/>
        <c:ser>
          <c:idx val="0"/>
          <c:order val="0"/>
          <c:tx>
            <c:strRef>
              <c:f>Unemployment!$A$2</c:f>
              <c:strCache>
                <c:ptCount val="1"/>
                <c:pt idx="0">
                  <c:v>Newmarket</c:v>
                </c:pt>
              </c:strCache>
            </c:strRef>
          </c:tx>
          <c:spPr>
            <a:ln>
              <a:solidFill>
                <a:sysClr val="windowText" lastClr="000000">
                  <a:lumMod val="65000"/>
                  <a:lumOff val="35000"/>
                </a:sysClr>
              </a:solidFill>
            </a:ln>
          </c:spPr>
          <c:marker>
            <c:symbol val="none"/>
          </c:marker>
          <c:dLbls>
            <c:dLbl>
              <c:idx val="0"/>
              <c:layout>
                <c:manualLayout>
                  <c:x val="-4.6402797425178659E-2"/>
                  <c:y val="-7.4252325276046791E-2"/>
                </c:manualLayout>
              </c:layout>
              <c:dLblPos val="r"/>
              <c:showLegendKey val="0"/>
              <c:showVal val="1"/>
              <c:showCatName val="0"/>
              <c:showSerName val="0"/>
              <c:showPercent val="0"/>
              <c:showBubbleSize val="0"/>
            </c:dLbl>
            <c:dLbl>
              <c:idx val="1"/>
              <c:layout>
                <c:manualLayout>
                  <c:x val="-5.7260169621396566E-2"/>
                  <c:y val="-7.43890379909787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412581005100671E-2"/>
                  <c:y val="-8.21841131931659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1846389157363421E-2"/>
                  <c:y val="-8.62249663128024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830418311280518E-2"/>
                  <c:y val="-4.685736498075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2.8575121069454668E-3"/>
                  <c:y val="-3.1110324447931388E-2"/>
                </c:manualLayout>
              </c:layout>
              <c:spPr>
                <a:noFill/>
                <a:ln>
                  <a:noFill/>
                </a:ln>
                <a:effectLst/>
              </c:spPr>
              <c:txPr>
                <a:bodyPr/>
                <a:lstStyle/>
                <a:p>
                  <a:pPr>
                    <a:defRPr sz="800">
                      <a:solidFill>
                        <a:sysClr val="windowText" lastClr="0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Unemployment!$B$1:$P$1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formatCode="mmm\-yy">
                  <c:v>41883</c:v>
                </c:pt>
              </c:numCache>
            </c:numRef>
          </c:cat>
          <c:val>
            <c:numRef>
              <c:f>Unemployment!$B$2:$P$2</c:f>
              <c:numCache>
                <c:formatCode>0.0%</c:formatCode>
                <c:ptCount val="15"/>
                <c:pt idx="0">
                  <c:v>2.3E-2</c:v>
                </c:pt>
                <c:pt idx="1">
                  <c:v>2.8000000000000001E-2</c:v>
                </c:pt>
                <c:pt idx="2">
                  <c:v>4.0999999999999995E-2</c:v>
                </c:pt>
                <c:pt idx="3">
                  <c:v>3.9E-2</c:v>
                </c:pt>
                <c:pt idx="4">
                  <c:v>3.1E-2</c:v>
                </c:pt>
                <c:pt idx="5">
                  <c:v>3.1E-2</c:v>
                </c:pt>
                <c:pt idx="6">
                  <c:v>2.8999999999999998E-2</c:v>
                </c:pt>
                <c:pt idx="7">
                  <c:v>2.8999999999999998E-2</c:v>
                </c:pt>
                <c:pt idx="8">
                  <c:v>3.2000000000000001E-2</c:v>
                </c:pt>
                <c:pt idx="9">
                  <c:v>5.0999999999999997E-2</c:v>
                </c:pt>
                <c:pt idx="10">
                  <c:v>5.2999999999999999E-2</c:v>
                </c:pt>
                <c:pt idx="11">
                  <c:v>4.5999999999999999E-2</c:v>
                </c:pt>
                <c:pt idx="12">
                  <c:v>4.4000000000000004E-2</c:v>
                </c:pt>
                <c:pt idx="13">
                  <c:v>4.0999999999999995E-2</c:v>
                </c:pt>
                <c:pt idx="14">
                  <c:v>3.1E-2</c:v>
                </c:pt>
              </c:numCache>
            </c:numRef>
          </c:val>
          <c:smooth val="0"/>
        </c:ser>
        <c:dLbls>
          <c:showLegendKey val="0"/>
          <c:showVal val="0"/>
          <c:showCatName val="0"/>
          <c:showSerName val="0"/>
          <c:showPercent val="0"/>
          <c:showBubbleSize val="0"/>
        </c:dLbls>
        <c:marker val="1"/>
        <c:smooth val="0"/>
        <c:axId val="232106624"/>
        <c:axId val="232223104"/>
      </c:lineChart>
      <c:catAx>
        <c:axId val="232106624"/>
        <c:scaling>
          <c:orientation val="minMax"/>
        </c:scaling>
        <c:delete val="0"/>
        <c:axPos val="b"/>
        <c:numFmt formatCode="General" sourceLinked="1"/>
        <c:majorTickMark val="out"/>
        <c:minorTickMark val="none"/>
        <c:tickLblPos val="nextTo"/>
        <c:crossAx val="232223104"/>
        <c:crosses val="autoZero"/>
        <c:auto val="1"/>
        <c:lblAlgn val="ctr"/>
        <c:lblOffset val="100"/>
        <c:noMultiLvlLbl val="0"/>
      </c:catAx>
      <c:valAx>
        <c:axId val="232223104"/>
        <c:scaling>
          <c:orientation val="minMax"/>
          <c:max val="6.0000000000000012E-2"/>
          <c:min val="2.0000000000000004E-2"/>
        </c:scaling>
        <c:delete val="0"/>
        <c:axPos val="l"/>
        <c:majorGridlines/>
        <c:numFmt formatCode="0.0%" sourceLinked="1"/>
        <c:majorTickMark val="out"/>
        <c:minorTickMark val="none"/>
        <c:tickLblPos val="nextTo"/>
        <c:crossAx val="232106624"/>
        <c:crosses val="autoZero"/>
        <c:crossBetween val="between"/>
      </c:valAx>
      <c:spPr>
        <a:noFill/>
      </c:spPr>
    </c:plotArea>
    <c:plotVisOnly val="1"/>
    <c:dispBlanksAs val="gap"/>
    <c:showDLblsOverMax val="0"/>
  </c:chart>
  <c:spPr>
    <a:noFill/>
    <a:ln>
      <a:noFill/>
    </a:ln>
  </c:spPr>
  <c:txPr>
    <a:bodyPr/>
    <a:lstStyle/>
    <a:p>
      <a:pPr>
        <a:defRPr b="0">
          <a:latin typeface="Century Gothic" panose="020B0502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Figure 7: Educational Attainment</a:t>
            </a:r>
          </a:p>
          <a:p>
            <a:pPr>
              <a:defRPr/>
            </a:pPr>
            <a:r>
              <a:rPr lang="en-US" sz="900" b="0"/>
              <a:t>Source:</a:t>
            </a:r>
            <a:r>
              <a:rPr lang="en-US" sz="900" b="0" baseline="0"/>
              <a:t> American Community Survey(ACS) 2013</a:t>
            </a:r>
            <a:endParaRPr lang="en-US" sz="900" b="0"/>
          </a:p>
        </c:rich>
      </c:tx>
      <c:overlay val="0"/>
    </c:title>
    <c:autoTitleDeleted val="0"/>
    <c:plotArea>
      <c:layout/>
      <c:barChart>
        <c:barDir val="col"/>
        <c:grouping val="clustered"/>
        <c:varyColors val="0"/>
        <c:ser>
          <c:idx val="0"/>
          <c:order val="0"/>
          <c:tx>
            <c:strRef>
              <c:f>Sheet1!$B$16</c:f>
              <c:strCache>
                <c:ptCount val="1"/>
                <c:pt idx="0">
                  <c:v>Newmarket</c:v>
                </c:pt>
              </c:strCache>
            </c:strRef>
          </c:tx>
          <c:spPr>
            <a:solidFill>
              <a:schemeClr val="tx1">
                <a:lumMod val="65000"/>
                <a:lumOff val="35000"/>
              </a:schemeClr>
            </a:solidFill>
          </c:spPr>
          <c:invertIfNegative val="0"/>
          <c:dLbls>
            <c:dLbl>
              <c:idx val="1"/>
              <c:layout>
                <c:manualLayout>
                  <c:x val="0"/>
                  <c:y val="-1.0137875101378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8654484548923605E-3"/>
                  <c:y val="-1.520681265206812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Sheet1!$A$17:$A$23</c:f>
              <c:strCache>
                <c:ptCount val="7"/>
                <c:pt idx="0">
                  <c:v>Less than 9th grade</c:v>
                </c:pt>
                <c:pt idx="1">
                  <c:v>9th to 12th grade, no diploma</c:v>
                </c:pt>
                <c:pt idx="2">
                  <c:v>High school graduate (includes equivalency)</c:v>
                </c:pt>
                <c:pt idx="3">
                  <c:v>Some college, no degree</c:v>
                </c:pt>
                <c:pt idx="4">
                  <c:v>Associate's degree</c:v>
                </c:pt>
                <c:pt idx="5">
                  <c:v>Bachelor's degree</c:v>
                </c:pt>
                <c:pt idx="6">
                  <c:v>Graduate or professional degree</c:v>
                </c:pt>
              </c:strCache>
            </c:strRef>
          </c:cat>
          <c:val>
            <c:numRef>
              <c:f>Sheet1!$B$17:$B$23</c:f>
              <c:numCache>
                <c:formatCode>0%</c:formatCode>
                <c:ptCount val="7"/>
                <c:pt idx="0">
                  <c:v>0.02</c:v>
                </c:pt>
                <c:pt idx="1">
                  <c:v>0.04</c:v>
                </c:pt>
                <c:pt idx="2">
                  <c:v>0.24</c:v>
                </c:pt>
                <c:pt idx="3">
                  <c:v>0.21</c:v>
                </c:pt>
                <c:pt idx="4">
                  <c:v>0.08</c:v>
                </c:pt>
                <c:pt idx="5">
                  <c:v>0.26</c:v>
                </c:pt>
                <c:pt idx="6">
                  <c:v>0.15</c:v>
                </c:pt>
              </c:numCache>
            </c:numRef>
          </c:val>
        </c:ser>
        <c:ser>
          <c:idx val="1"/>
          <c:order val="1"/>
          <c:tx>
            <c:strRef>
              <c:f>Sheet1!$C$16</c:f>
              <c:strCache>
                <c:ptCount val="1"/>
                <c:pt idx="0">
                  <c:v>Region</c:v>
                </c:pt>
              </c:strCache>
            </c:strRef>
          </c:tx>
          <c:spPr>
            <a:solidFill>
              <a:schemeClr val="accent2">
                <a:lumMod val="75000"/>
              </a:schemeClr>
            </a:solidFill>
          </c:spPr>
          <c:invertIfNegative val="0"/>
          <c:cat>
            <c:strRef>
              <c:f>Sheet1!$A$17:$A$23</c:f>
              <c:strCache>
                <c:ptCount val="7"/>
                <c:pt idx="0">
                  <c:v>Less than 9th grade</c:v>
                </c:pt>
                <c:pt idx="1">
                  <c:v>9th to 12th grade, no diploma</c:v>
                </c:pt>
                <c:pt idx="2">
                  <c:v>High school graduate (includes equivalency)</c:v>
                </c:pt>
                <c:pt idx="3">
                  <c:v>Some college, no degree</c:v>
                </c:pt>
                <c:pt idx="4">
                  <c:v>Associate's degree</c:v>
                </c:pt>
                <c:pt idx="5">
                  <c:v>Bachelor's degree</c:v>
                </c:pt>
                <c:pt idx="6">
                  <c:v>Graduate or professional degree</c:v>
                </c:pt>
              </c:strCache>
            </c:strRef>
          </c:cat>
          <c:val>
            <c:numRef>
              <c:f>Sheet1!$C$17:$C$23</c:f>
              <c:numCache>
                <c:formatCode>0%</c:formatCode>
                <c:ptCount val="7"/>
                <c:pt idx="0">
                  <c:v>0.03</c:v>
                </c:pt>
                <c:pt idx="1">
                  <c:v>5.1999999999999998E-2</c:v>
                </c:pt>
                <c:pt idx="2">
                  <c:v>0.28699999999999998</c:v>
                </c:pt>
                <c:pt idx="3">
                  <c:v>0.2</c:v>
                </c:pt>
                <c:pt idx="4">
                  <c:v>0.106</c:v>
                </c:pt>
                <c:pt idx="5">
                  <c:v>0.19500000000000001</c:v>
                </c:pt>
                <c:pt idx="6">
                  <c:v>0.129</c:v>
                </c:pt>
              </c:numCache>
            </c:numRef>
          </c:val>
        </c:ser>
        <c:ser>
          <c:idx val="2"/>
          <c:order val="2"/>
          <c:tx>
            <c:strRef>
              <c:f>Sheet1!$D$16</c:f>
              <c:strCache>
                <c:ptCount val="1"/>
                <c:pt idx="0">
                  <c:v>State</c:v>
                </c:pt>
              </c:strCache>
            </c:strRef>
          </c:tx>
          <c:spPr>
            <a:solidFill>
              <a:schemeClr val="bg2">
                <a:lumMod val="75000"/>
              </a:schemeClr>
            </a:solidFill>
          </c:spPr>
          <c:invertIfNegative val="0"/>
          <c:cat>
            <c:strRef>
              <c:f>Sheet1!$A$17:$A$23</c:f>
              <c:strCache>
                <c:ptCount val="7"/>
                <c:pt idx="0">
                  <c:v>Less than 9th grade</c:v>
                </c:pt>
                <c:pt idx="1">
                  <c:v>9th to 12th grade, no diploma</c:v>
                </c:pt>
                <c:pt idx="2">
                  <c:v>High school graduate (includes equivalency)</c:v>
                </c:pt>
                <c:pt idx="3">
                  <c:v>Some college, no degree</c:v>
                </c:pt>
                <c:pt idx="4">
                  <c:v>Associate's degree</c:v>
                </c:pt>
                <c:pt idx="5">
                  <c:v>Bachelor's degree</c:v>
                </c:pt>
                <c:pt idx="6">
                  <c:v>Graduate or professional degree</c:v>
                </c:pt>
              </c:strCache>
            </c:strRef>
          </c:cat>
          <c:val>
            <c:numRef>
              <c:f>Sheet1!$D$17:$D$23</c:f>
              <c:numCache>
                <c:formatCode>0%</c:formatCode>
                <c:ptCount val="7"/>
                <c:pt idx="0">
                  <c:v>2.7618153323237866E-2</c:v>
                </c:pt>
                <c:pt idx="1">
                  <c:v>5.7954147186605215E-2</c:v>
                </c:pt>
                <c:pt idx="2">
                  <c:v>0.29280268213168631</c:v>
                </c:pt>
                <c:pt idx="3">
                  <c:v>0.19136969905371537</c:v>
                </c:pt>
                <c:pt idx="4">
                  <c:v>9.5903621362711577E-2</c:v>
                </c:pt>
                <c:pt idx="5">
                  <c:v>0.21160251196356816</c:v>
                </c:pt>
                <c:pt idx="6">
                  <c:v>0.12274918497847549</c:v>
                </c:pt>
              </c:numCache>
            </c:numRef>
          </c:val>
        </c:ser>
        <c:dLbls>
          <c:showLegendKey val="0"/>
          <c:showVal val="0"/>
          <c:showCatName val="0"/>
          <c:showSerName val="0"/>
          <c:showPercent val="0"/>
          <c:showBubbleSize val="0"/>
        </c:dLbls>
        <c:gapWidth val="150"/>
        <c:axId val="232073088"/>
        <c:axId val="232074624"/>
      </c:barChart>
      <c:catAx>
        <c:axId val="232073088"/>
        <c:scaling>
          <c:orientation val="minMax"/>
        </c:scaling>
        <c:delete val="0"/>
        <c:axPos val="b"/>
        <c:numFmt formatCode="General" sourceLinked="0"/>
        <c:majorTickMark val="out"/>
        <c:minorTickMark val="none"/>
        <c:tickLblPos val="nextTo"/>
        <c:txPr>
          <a:bodyPr/>
          <a:lstStyle/>
          <a:p>
            <a:pPr>
              <a:defRPr sz="800"/>
            </a:pPr>
            <a:endParaRPr lang="en-US"/>
          </a:p>
        </c:txPr>
        <c:crossAx val="232074624"/>
        <c:crosses val="autoZero"/>
        <c:auto val="1"/>
        <c:lblAlgn val="ctr"/>
        <c:lblOffset val="100"/>
        <c:noMultiLvlLbl val="0"/>
      </c:catAx>
      <c:valAx>
        <c:axId val="232074624"/>
        <c:scaling>
          <c:orientation val="minMax"/>
        </c:scaling>
        <c:delete val="0"/>
        <c:axPos val="l"/>
        <c:majorGridlines/>
        <c:numFmt formatCode="0%" sourceLinked="1"/>
        <c:majorTickMark val="out"/>
        <c:minorTickMark val="none"/>
        <c:tickLblPos val="nextTo"/>
        <c:crossAx val="232073088"/>
        <c:crosses val="autoZero"/>
        <c:crossBetween val="between"/>
      </c:valAx>
      <c:spPr>
        <a:noFill/>
      </c:spPr>
    </c:plotArea>
    <c:legend>
      <c:legendPos val="r"/>
      <c:overlay val="0"/>
      <c:txPr>
        <a:bodyPr/>
        <a:lstStyle/>
        <a:p>
          <a:pPr>
            <a:defRPr sz="1000"/>
          </a:pPr>
          <a:endParaRPr lang="en-US"/>
        </a:p>
      </c:txPr>
    </c:legend>
    <c:plotVisOnly val="1"/>
    <c:dispBlanksAs val="gap"/>
    <c:showDLblsOverMax val="0"/>
  </c:chart>
  <c:spPr>
    <a:noFill/>
    <a:ln>
      <a:noFill/>
    </a:ln>
  </c:spPr>
  <c:txPr>
    <a:bodyPr/>
    <a:lstStyle/>
    <a:p>
      <a:pPr>
        <a:defRPr>
          <a:latin typeface="Century Gothic" panose="020B0502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C54C81-98E2-4221-924A-0755D26484D0}"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en-US"/>
        </a:p>
      </dgm:t>
    </dgm:pt>
    <dgm:pt modelId="{01D1950F-EDFB-4BE1-A64C-6FA367BA1327}">
      <dgm:prSet phldrT="[Text]" custT="1"/>
      <dgm:spPr>
        <a:xfrm>
          <a:off x="0" y="17876"/>
          <a:ext cx="2743200" cy="432510"/>
        </a:xfrm>
        <a:solidFill>
          <a:schemeClr val="tx1">
            <a:lumMod val="65000"/>
            <a:lumOff val="35000"/>
          </a:schemeClr>
        </a:solidFill>
      </dgm:spPr>
      <dgm:t>
        <a:bodyPr/>
        <a:lstStyle/>
        <a:p>
          <a:r>
            <a:rPr lang="en-US" sz="1100">
              <a:latin typeface="Century Gothic" panose="020B0502020202020204" pitchFamily="34" charset="0"/>
              <a:ea typeface="+mn-ea"/>
              <a:cs typeface="+mn-cs"/>
            </a:rPr>
            <a:t>Renters: Factors in Rental Cost</a:t>
          </a:r>
          <a:r>
            <a:rPr lang="en-US" sz="1400">
              <a:latin typeface="Century Gothic" panose="020B0502020202020204" pitchFamily="34" charset="0"/>
              <a:ea typeface="+mn-ea"/>
              <a:cs typeface="+mn-cs"/>
            </a:rPr>
            <a:t>	</a:t>
          </a:r>
        </a:p>
      </dgm:t>
    </dgm:pt>
    <dgm:pt modelId="{9B1ACD81-AEC3-452A-A729-D6BB74B1B260}" type="parTrans" cxnId="{0D2272BF-AEF7-41FE-BC56-8EFFFD3328F5}">
      <dgm:prSet/>
      <dgm:spPr/>
      <dgm:t>
        <a:bodyPr/>
        <a:lstStyle/>
        <a:p>
          <a:endParaRPr lang="en-US" sz="1000">
            <a:latin typeface="Century Gothic" panose="020B0502020202020204" pitchFamily="34" charset="0"/>
          </a:endParaRPr>
        </a:p>
      </dgm:t>
    </dgm:pt>
    <dgm:pt modelId="{6F9132E4-1354-4B55-BC15-5710BB2F6C03}" type="sibTrans" cxnId="{0D2272BF-AEF7-41FE-BC56-8EFFFD3328F5}">
      <dgm:prSet/>
      <dgm:spPr/>
      <dgm:t>
        <a:bodyPr/>
        <a:lstStyle/>
        <a:p>
          <a:endParaRPr lang="en-US" sz="1000">
            <a:latin typeface="Century Gothic" panose="020B0502020202020204" pitchFamily="34" charset="0"/>
          </a:endParaRPr>
        </a:p>
      </dgm:t>
    </dgm:pt>
    <dgm:pt modelId="{E33C6FA9-6FA5-4F9A-AD32-86515E281DD0}">
      <dgm:prSet phldrT="[Text]" custT="1"/>
      <dgm:spPr>
        <a:xfrm>
          <a:off x="0" y="452251"/>
          <a:ext cx="2743200" cy="832029"/>
        </a:xfrm>
      </dgm:spPr>
      <dgm:t>
        <a:bodyPr/>
        <a:lstStyle/>
        <a:p>
          <a:r>
            <a:rPr lang="en-US" sz="1000">
              <a:latin typeface="Century Gothic" panose="020B0502020202020204" pitchFamily="34" charset="0"/>
              <a:ea typeface="+mn-ea"/>
              <a:cs typeface="+mn-cs"/>
            </a:rPr>
            <a:t>Rent</a:t>
          </a:r>
        </a:p>
      </dgm:t>
    </dgm:pt>
    <dgm:pt modelId="{9AED7093-F369-40CE-8698-5933489ECF44}" type="parTrans" cxnId="{790E8BB9-685D-444F-BF5B-D7C6575EE955}">
      <dgm:prSet/>
      <dgm:spPr/>
      <dgm:t>
        <a:bodyPr/>
        <a:lstStyle/>
        <a:p>
          <a:endParaRPr lang="en-US" sz="1000">
            <a:latin typeface="Century Gothic" panose="020B0502020202020204" pitchFamily="34" charset="0"/>
          </a:endParaRPr>
        </a:p>
      </dgm:t>
    </dgm:pt>
    <dgm:pt modelId="{E55FCE8A-8B02-4B5F-86A2-D210AE9A3D17}" type="sibTrans" cxnId="{790E8BB9-685D-444F-BF5B-D7C6575EE955}">
      <dgm:prSet/>
      <dgm:spPr/>
      <dgm:t>
        <a:bodyPr/>
        <a:lstStyle/>
        <a:p>
          <a:endParaRPr lang="en-US" sz="1000">
            <a:latin typeface="Century Gothic" panose="020B0502020202020204" pitchFamily="34" charset="0"/>
          </a:endParaRPr>
        </a:p>
      </dgm:t>
    </dgm:pt>
    <dgm:pt modelId="{5313C0BF-7F56-4FF8-80AE-1D163A177915}">
      <dgm:prSet phldrT="[Text]" custT="1"/>
      <dgm:spPr>
        <a:xfrm>
          <a:off x="0" y="1284280"/>
          <a:ext cx="2743200" cy="425198"/>
        </a:xfrm>
        <a:solidFill>
          <a:schemeClr val="tx1">
            <a:lumMod val="65000"/>
            <a:lumOff val="35000"/>
          </a:schemeClr>
        </a:solidFill>
      </dgm:spPr>
      <dgm:t>
        <a:bodyPr/>
        <a:lstStyle/>
        <a:p>
          <a:r>
            <a:rPr lang="en-US" sz="1100">
              <a:latin typeface="Century Gothic" panose="020B0502020202020204" pitchFamily="34" charset="0"/>
              <a:ea typeface="+mn-ea"/>
              <a:cs typeface="+mn-cs"/>
            </a:rPr>
            <a:t>Home Owners: Factors in Housing Cost</a:t>
          </a:r>
        </a:p>
      </dgm:t>
    </dgm:pt>
    <dgm:pt modelId="{D7FE7A3C-B23D-4490-A3A2-82985443F818}" type="parTrans" cxnId="{5C5F441A-CFEA-46C1-AAD1-89BB52CF2601}">
      <dgm:prSet/>
      <dgm:spPr/>
      <dgm:t>
        <a:bodyPr/>
        <a:lstStyle/>
        <a:p>
          <a:endParaRPr lang="en-US" sz="1000">
            <a:latin typeface="Century Gothic" panose="020B0502020202020204" pitchFamily="34" charset="0"/>
          </a:endParaRPr>
        </a:p>
      </dgm:t>
    </dgm:pt>
    <dgm:pt modelId="{85FBA2E7-A435-488B-BA1E-C89D807A5FCD}" type="sibTrans" cxnId="{5C5F441A-CFEA-46C1-AAD1-89BB52CF2601}">
      <dgm:prSet/>
      <dgm:spPr/>
      <dgm:t>
        <a:bodyPr/>
        <a:lstStyle/>
        <a:p>
          <a:endParaRPr lang="en-US" sz="1000">
            <a:latin typeface="Century Gothic" panose="020B0502020202020204" pitchFamily="34" charset="0"/>
          </a:endParaRPr>
        </a:p>
      </dgm:t>
    </dgm:pt>
    <dgm:pt modelId="{952DB0EC-DDE1-41F2-94E5-3CB6E5DDC5AE}">
      <dgm:prSet phldrT="[Text]" custT="1"/>
      <dgm:spPr>
        <a:xfrm>
          <a:off x="0" y="1709479"/>
          <a:ext cx="2743200" cy="934604"/>
        </a:xfrm>
      </dgm:spPr>
      <dgm:t>
        <a:bodyPr/>
        <a:lstStyle/>
        <a:p>
          <a:r>
            <a:rPr lang="en-US" sz="1000">
              <a:latin typeface="Century Gothic" panose="020B0502020202020204" pitchFamily="34" charset="0"/>
              <a:ea typeface="+mn-ea"/>
              <a:cs typeface="+mn-cs"/>
            </a:rPr>
            <a:t>Mortgage Payment</a:t>
          </a:r>
        </a:p>
      </dgm:t>
    </dgm:pt>
    <dgm:pt modelId="{834AADD9-F515-45EB-8BA6-30A8CBBA3BEC}" type="parTrans" cxnId="{B77F3A21-97E1-4CC0-81C9-7712CD0639EA}">
      <dgm:prSet/>
      <dgm:spPr/>
      <dgm:t>
        <a:bodyPr/>
        <a:lstStyle/>
        <a:p>
          <a:endParaRPr lang="en-US" sz="1000">
            <a:latin typeface="Century Gothic" panose="020B0502020202020204" pitchFamily="34" charset="0"/>
          </a:endParaRPr>
        </a:p>
      </dgm:t>
    </dgm:pt>
    <dgm:pt modelId="{ECDFADDC-E375-4EB9-B4B0-BC3965B1D0E5}" type="sibTrans" cxnId="{B77F3A21-97E1-4CC0-81C9-7712CD0639EA}">
      <dgm:prSet/>
      <dgm:spPr/>
      <dgm:t>
        <a:bodyPr/>
        <a:lstStyle/>
        <a:p>
          <a:endParaRPr lang="en-US" sz="1000">
            <a:latin typeface="Century Gothic" panose="020B0502020202020204" pitchFamily="34" charset="0"/>
          </a:endParaRPr>
        </a:p>
      </dgm:t>
    </dgm:pt>
    <dgm:pt modelId="{3A5E58AF-DE05-4C84-AF85-7FFA5177A3D3}">
      <dgm:prSet phldrT="[Text]" custT="1"/>
      <dgm:spPr>
        <a:xfrm>
          <a:off x="0" y="1709479"/>
          <a:ext cx="2743200" cy="934604"/>
        </a:xfrm>
      </dgm:spPr>
      <dgm:t>
        <a:bodyPr/>
        <a:lstStyle/>
        <a:p>
          <a:r>
            <a:rPr lang="en-US" sz="1000">
              <a:latin typeface="Century Gothic" panose="020B0502020202020204" pitchFamily="34" charset="0"/>
              <a:ea typeface="+mn-ea"/>
              <a:cs typeface="+mn-cs"/>
            </a:rPr>
            <a:t>Association Fees</a:t>
          </a:r>
        </a:p>
      </dgm:t>
    </dgm:pt>
    <dgm:pt modelId="{14EE2925-CFBB-4BE2-8B62-674F7B95CFE4}" type="parTrans" cxnId="{BD30D7B6-261F-4CC2-A615-F4C539EAE01D}">
      <dgm:prSet/>
      <dgm:spPr/>
      <dgm:t>
        <a:bodyPr/>
        <a:lstStyle/>
        <a:p>
          <a:endParaRPr lang="en-US" sz="1000">
            <a:latin typeface="Century Gothic" panose="020B0502020202020204" pitchFamily="34" charset="0"/>
          </a:endParaRPr>
        </a:p>
      </dgm:t>
    </dgm:pt>
    <dgm:pt modelId="{001FF264-0AA8-4525-B8D6-068D70DA744A}" type="sibTrans" cxnId="{BD30D7B6-261F-4CC2-A615-F4C539EAE01D}">
      <dgm:prSet/>
      <dgm:spPr/>
      <dgm:t>
        <a:bodyPr/>
        <a:lstStyle/>
        <a:p>
          <a:endParaRPr lang="en-US" sz="1000">
            <a:latin typeface="Century Gothic" panose="020B0502020202020204" pitchFamily="34" charset="0"/>
          </a:endParaRPr>
        </a:p>
      </dgm:t>
    </dgm:pt>
    <dgm:pt modelId="{ABF42AF9-710A-4293-A801-E55FFE977842}">
      <dgm:prSet phldrT="[Text]" custT="1"/>
      <dgm:spPr>
        <a:xfrm>
          <a:off x="0" y="1709479"/>
          <a:ext cx="2743200" cy="934604"/>
        </a:xfrm>
      </dgm:spPr>
      <dgm:t>
        <a:bodyPr/>
        <a:lstStyle/>
        <a:p>
          <a:r>
            <a:rPr lang="en-US" sz="1000">
              <a:latin typeface="Century Gothic" panose="020B0502020202020204" pitchFamily="34" charset="0"/>
              <a:ea typeface="+mn-ea"/>
              <a:cs typeface="+mn-cs"/>
            </a:rPr>
            <a:t>Insurance and Real Estates Taxes</a:t>
          </a:r>
        </a:p>
      </dgm:t>
    </dgm:pt>
    <dgm:pt modelId="{501ABB46-B7C7-40DB-96E6-03158EEBD023}" type="parTrans" cxnId="{A4033CE3-AD3F-4D9C-8EE1-070A29E994CB}">
      <dgm:prSet/>
      <dgm:spPr/>
      <dgm:t>
        <a:bodyPr/>
        <a:lstStyle/>
        <a:p>
          <a:endParaRPr lang="en-US" sz="1000">
            <a:latin typeface="Century Gothic" panose="020B0502020202020204" pitchFamily="34" charset="0"/>
          </a:endParaRPr>
        </a:p>
      </dgm:t>
    </dgm:pt>
    <dgm:pt modelId="{4281940B-FC3D-471C-A387-598A7E5CA694}" type="sibTrans" cxnId="{A4033CE3-AD3F-4D9C-8EE1-070A29E994CB}">
      <dgm:prSet/>
      <dgm:spPr/>
      <dgm:t>
        <a:bodyPr/>
        <a:lstStyle/>
        <a:p>
          <a:endParaRPr lang="en-US" sz="1000">
            <a:latin typeface="Century Gothic" panose="020B0502020202020204" pitchFamily="34" charset="0"/>
          </a:endParaRPr>
        </a:p>
      </dgm:t>
    </dgm:pt>
    <dgm:pt modelId="{FCDAA898-B5DB-4C4B-BC98-DD3607598FF3}">
      <dgm:prSet phldrT="[Text]" custT="1"/>
      <dgm:spPr>
        <a:xfrm>
          <a:off x="0" y="1709479"/>
          <a:ext cx="2743200" cy="934604"/>
        </a:xfrm>
      </dgm:spPr>
      <dgm:t>
        <a:bodyPr/>
        <a:lstStyle/>
        <a:p>
          <a:r>
            <a:rPr lang="en-US" sz="1000">
              <a:latin typeface="Century Gothic" panose="020B0502020202020204" pitchFamily="34" charset="0"/>
              <a:ea typeface="+mn-ea"/>
              <a:cs typeface="+mn-cs"/>
            </a:rPr>
            <a:t>Utilities</a:t>
          </a:r>
        </a:p>
      </dgm:t>
    </dgm:pt>
    <dgm:pt modelId="{A3934095-1192-4DCC-BDCC-11AB86471E47}" type="parTrans" cxnId="{7C8FA8F3-B94B-4BC5-8E3C-75FE36F79FF6}">
      <dgm:prSet/>
      <dgm:spPr/>
      <dgm:t>
        <a:bodyPr/>
        <a:lstStyle/>
        <a:p>
          <a:endParaRPr lang="en-US" sz="1000">
            <a:latin typeface="Century Gothic" panose="020B0502020202020204" pitchFamily="34" charset="0"/>
          </a:endParaRPr>
        </a:p>
      </dgm:t>
    </dgm:pt>
    <dgm:pt modelId="{B6FB50A9-A175-49A2-9D5D-8F78BA31CE1E}" type="sibTrans" cxnId="{7C8FA8F3-B94B-4BC5-8E3C-75FE36F79FF6}">
      <dgm:prSet/>
      <dgm:spPr/>
      <dgm:t>
        <a:bodyPr/>
        <a:lstStyle/>
        <a:p>
          <a:endParaRPr lang="en-US" sz="1000">
            <a:latin typeface="Century Gothic" panose="020B0502020202020204" pitchFamily="34" charset="0"/>
          </a:endParaRPr>
        </a:p>
      </dgm:t>
    </dgm:pt>
    <dgm:pt modelId="{8D187877-88ED-402C-98D6-421DD8D19014}">
      <dgm:prSet phldrT="[Text]" custT="1"/>
      <dgm:spPr>
        <a:xfrm>
          <a:off x="0" y="452251"/>
          <a:ext cx="2743200" cy="832029"/>
        </a:xfrm>
      </dgm:spPr>
      <dgm:t>
        <a:bodyPr/>
        <a:lstStyle/>
        <a:p>
          <a:r>
            <a:rPr lang="en-US" sz="1000">
              <a:latin typeface="Century Gothic" panose="020B0502020202020204" pitchFamily="34" charset="0"/>
              <a:ea typeface="+mn-ea"/>
              <a:cs typeface="+mn-cs"/>
            </a:rPr>
            <a:t>Utilities</a:t>
          </a:r>
        </a:p>
      </dgm:t>
    </dgm:pt>
    <dgm:pt modelId="{E2688263-1193-40AE-8DB2-5E024171574C}" type="parTrans" cxnId="{E04E56AE-9021-4FDE-B88A-824CD62F2339}">
      <dgm:prSet/>
      <dgm:spPr/>
      <dgm:t>
        <a:bodyPr/>
        <a:lstStyle/>
        <a:p>
          <a:endParaRPr lang="en-US" sz="1000">
            <a:latin typeface="Century Gothic" panose="020B0502020202020204" pitchFamily="34" charset="0"/>
          </a:endParaRPr>
        </a:p>
      </dgm:t>
    </dgm:pt>
    <dgm:pt modelId="{6EEE1FCC-3E5F-4BE0-AE3A-7CBBD5C4023B}" type="sibTrans" cxnId="{E04E56AE-9021-4FDE-B88A-824CD62F2339}">
      <dgm:prSet/>
      <dgm:spPr/>
      <dgm:t>
        <a:bodyPr/>
        <a:lstStyle/>
        <a:p>
          <a:endParaRPr lang="en-US" sz="1000">
            <a:latin typeface="Century Gothic" panose="020B0502020202020204" pitchFamily="34" charset="0"/>
          </a:endParaRPr>
        </a:p>
      </dgm:t>
    </dgm:pt>
    <dgm:pt modelId="{749D4FEA-B31A-4329-A8E9-65ABC16D2A82}" type="pres">
      <dgm:prSet presAssocID="{20C54C81-98E2-4221-924A-0755D26484D0}" presName="linear" presStyleCnt="0">
        <dgm:presLayoutVars>
          <dgm:animLvl val="lvl"/>
          <dgm:resizeHandles val="exact"/>
        </dgm:presLayoutVars>
      </dgm:prSet>
      <dgm:spPr/>
      <dgm:t>
        <a:bodyPr/>
        <a:lstStyle/>
        <a:p>
          <a:endParaRPr lang="en-US"/>
        </a:p>
      </dgm:t>
    </dgm:pt>
    <dgm:pt modelId="{197D34AB-A523-4ED0-90B0-248C6854207C}" type="pres">
      <dgm:prSet presAssocID="{01D1950F-EDFB-4BE1-A64C-6FA367BA1327}" presName="parentText" presStyleLbl="node1" presStyleIdx="0" presStyleCnt="2" custScaleY="41952" custLinFactNeighborX="-11240" custLinFactNeighborY="-268">
        <dgm:presLayoutVars>
          <dgm:chMax val="0"/>
          <dgm:bulletEnabled val="1"/>
        </dgm:presLayoutVars>
      </dgm:prSet>
      <dgm:spPr>
        <a:prstGeom prst="roundRect">
          <a:avLst/>
        </a:prstGeom>
      </dgm:spPr>
      <dgm:t>
        <a:bodyPr/>
        <a:lstStyle/>
        <a:p>
          <a:endParaRPr lang="en-US"/>
        </a:p>
      </dgm:t>
    </dgm:pt>
    <dgm:pt modelId="{3B0253B6-40CB-4ECD-9368-B7523E35BDB2}" type="pres">
      <dgm:prSet presAssocID="{01D1950F-EDFB-4BE1-A64C-6FA367BA1327}" presName="childText" presStyleLbl="revTx" presStyleIdx="0" presStyleCnt="2" custScaleY="119627">
        <dgm:presLayoutVars>
          <dgm:bulletEnabled val="1"/>
        </dgm:presLayoutVars>
      </dgm:prSet>
      <dgm:spPr>
        <a:prstGeom prst="rect">
          <a:avLst/>
        </a:prstGeom>
      </dgm:spPr>
      <dgm:t>
        <a:bodyPr/>
        <a:lstStyle/>
        <a:p>
          <a:endParaRPr lang="en-US"/>
        </a:p>
      </dgm:t>
    </dgm:pt>
    <dgm:pt modelId="{3DE5B19B-3F7C-4C52-950C-0D669762387D}" type="pres">
      <dgm:prSet presAssocID="{5313C0BF-7F56-4FF8-80AE-1D163A177915}" presName="parentText" presStyleLbl="node1" presStyleIdx="1" presStyleCnt="2" custScaleY="57203">
        <dgm:presLayoutVars>
          <dgm:chMax val="0"/>
          <dgm:bulletEnabled val="1"/>
        </dgm:presLayoutVars>
      </dgm:prSet>
      <dgm:spPr>
        <a:prstGeom prst="roundRect">
          <a:avLst/>
        </a:prstGeom>
      </dgm:spPr>
      <dgm:t>
        <a:bodyPr/>
        <a:lstStyle/>
        <a:p>
          <a:endParaRPr lang="en-US"/>
        </a:p>
      </dgm:t>
    </dgm:pt>
    <dgm:pt modelId="{10EFE4F8-7E34-4CDF-9D1C-FDD585E8467F}" type="pres">
      <dgm:prSet presAssocID="{5313C0BF-7F56-4FF8-80AE-1D163A177915}" presName="childText" presStyleLbl="revTx" presStyleIdx="1" presStyleCnt="2">
        <dgm:presLayoutVars>
          <dgm:bulletEnabled val="1"/>
        </dgm:presLayoutVars>
      </dgm:prSet>
      <dgm:spPr>
        <a:prstGeom prst="rect">
          <a:avLst/>
        </a:prstGeom>
      </dgm:spPr>
      <dgm:t>
        <a:bodyPr/>
        <a:lstStyle/>
        <a:p>
          <a:endParaRPr lang="en-US"/>
        </a:p>
      </dgm:t>
    </dgm:pt>
  </dgm:ptLst>
  <dgm:cxnLst>
    <dgm:cxn modelId="{7C8FA8F3-B94B-4BC5-8E3C-75FE36F79FF6}" srcId="{5313C0BF-7F56-4FF8-80AE-1D163A177915}" destId="{FCDAA898-B5DB-4C4B-BC98-DD3607598FF3}" srcOrd="1" destOrd="0" parTransId="{A3934095-1192-4DCC-BDCC-11AB86471E47}" sibTransId="{B6FB50A9-A175-49A2-9D5D-8F78BA31CE1E}"/>
    <dgm:cxn modelId="{DF9D03CF-7343-4726-845A-1D43163CD6B4}" type="presOf" srcId="{3A5E58AF-DE05-4C84-AF85-7FFA5177A3D3}" destId="{10EFE4F8-7E34-4CDF-9D1C-FDD585E8467F}" srcOrd="0" destOrd="2" presId="urn:microsoft.com/office/officeart/2005/8/layout/vList2"/>
    <dgm:cxn modelId="{BC022F2F-1A70-4BE3-B74C-AE77F2CBC976}" type="presOf" srcId="{20C54C81-98E2-4221-924A-0755D26484D0}" destId="{749D4FEA-B31A-4329-A8E9-65ABC16D2A82}" srcOrd="0" destOrd="0" presId="urn:microsoft.com/office/officeart/2005/8/layout/vList2"/>
    <dgm:cxn modelId="{C179204B-5D8C-4AD1-A476-CCE99805B754}" type="presOf" srcId="{5313C0BF-7F56-4FF8-80AE-1D163A177915}" destId="{3DE5B19B-3F7C-4C52-950C-0D669762387D}" srcOrd="0" destOrd="0" presId="urn:microsoft.com/office/officeart/2005/8/layout/vList2"/>
    <dgm:cxn modelId="{0D2272BF-AEF7-41FE-BC56-8EFFFD3328F5}" srcId="{20C54C81-98E2-4221-924A-0755D26484D0}" destId="{01D1950F-EDFB-4BE1-A64C-6FA367BA1327}" srcOrd="0" destOrd="0" parTransId="{9B1ACD81-AEC3-452A-A729-D6BB74B1B260}" sibTransId="{6F9132E4-1354-4B55-BC15-5710BB2F6C03}"/>
    <dgm:cxn modelId="{D4E7D08E-F3D1-4C50-BB21-BD4D0476F758}" type="presOf" srcId="{952DB0EC-DDE1-41F2-94E5-3CB6E5DDC5AE}" destId="{10EFE4F8-7E34-4CDF-9D1C-FDD585E8467F}" srcOrd="0" destOrd="0" presId="urn:microsoft.com/office/officeart/2005/8/layout/vList2"/>
    <dgm:cxn modelId="{A2D072DE-EBE2-415A-AE7C-2AD3CDCFA3E1}" type="presOf" srcId="{01D1950F-EDFB-4BE1-A64C-6FA367BA1327}" destId="{197D34AB-A523-4ED0-90B0-248C6854207C}" srcOrd="0" destOrd="0" presId="urn:microsoft.com/office/officeart/2005/8/layout/vList2"/>
    <dgm:cxn modelId="{722FD4F9-44F2-4A0D-9ACE-F8552C75FC26}" type="presOf" srcId="{ABF42AF9-710A-4293-A801-E55FFE977842}" destId="{10EFE4F8-7E34-4CDF-9D1C-FDD585E8467F}" srcOrd="0" destOrd="3" presId="urn:microsoft.com/office/officeart/2005/8/layout/vList2"/>
    <dgm:cxn modelId="{1BFEE37B-5E19-44BB-9F5C-A96C6517BE91}" type="presOf" srcId="{8D187877-88ED-402C-98D6-421DD8D19014}" destId="{3B0253B6-40CB-4ECD-9368-B7523E35BDB2}" srcOrd="0" destOrd="1" presId="urn:microsoft.com/office/officeart/2005/8/layout/vList2"/>
    <dgm:cxn modelId="{BD30D7B6-261F-4CC2-A615-F4C539EAE01D}" srcId="{5313C0BF-7F56-4FF8-80AE-1D163A177915}" destId="{3A5E58AF-DE05-4C84-AF85-7FFA5177A3D3}" srcOrd="2" destOrd="0" parTransId="{14EE2925-CFBB-4BE2-8B62-674F7B95CFE4}" sibTransId="{001FF264-0AA8-4525-B8D6-068D70DA744A}"/>
    <dgm:cxn modelId="{C0FA0085-C2D1-416E-A97B-8C35D0DE350A}" type="presOf" srcId="{FCDAA898-B5DB-4C4B-BC98-DD3607598FF3}" destId="{10EFE4F8-7E34-4CDF-9D1C-FDD585E8467F}" srcOrd="0" destOrd="1" presId="urn:microsoft.com/office/officeart/2005/8/layout/vList2"/>
    <dgm:cxn modelId="{5C5F441A-CFEA-46C1-AAD1-89BB52CF2601}" srcId="{20C54C81-98E2-4221-924A-0755D26484D0}" destId="{5313C0BF-7F56-4FF8-80AE-1D163A177915}" srcOrd="1" destOrd="0" parTransId="{D7FE7A3C-B23D-4490-A3A2-82985443F818}" sibTransId="{85FBA2E7-A435-488B-BA1E-C89D807A5FCD}"/>
    <dgm:cxn modelId="{17258783-227B-4638-A631-D34D61492EBD}" type="presOf" srcId="{E33C6FA9-6FA5-4F9A-AD32-86515E281DD0}" destId="{3B0253B6-40CB-4ECD-9368-B7523E35BDB2}" srcOrd="0" destOrd="0" presId="urn:microsoft.com/office/officeart/2005/8/layout/vList2"/>
    <dgm:cxn modelId="{B77F3A21-97E1-4CC0-81C9-7712CD0639EA}" srcId="{5313C0BF-7F56-4FF8-80AE-1D163A177915}" destId="{952DB0EC-DDE1-41F2-94E5-3CB6E5DDC5AE}" srcOrd="0" destOrd="0" parTransId="{834AADD9-F515-45EB-8BA6-30A8CBBA3BEC}" sibTransId="{ECDFADDC-E375-4EB9-B4B0-BC3965B1D0E5}"/>
    <dgm:cxn modelId="{E04E56AE-9021-4FDE-B88A-824CD62F2339}" srcId="{01D1950F-EDFB-4BE1-A64C-6FA367BA1327}" destId="{8D187877-88ED-402C-98D6-421DD8D19014}" srcOrd="1" destOrd="0" parTransId="{E2688263-1193-40AE-8DB2-5E024171574C}" sibTransId="{6EEE1FCC-3E5F-4BE0-AE3A-7CBBD5C4023B}"/>
    <dgm:cxn modelId="{A4033CE3-AD3F-4D9C-8EE1-070A29E994CB}" srcId="{5313C0BF-7F56-4FF8-80AE-1D163A177915}" destId="{ABF42AF9-710A-4293-A801-E55FFE977842}" srcOrd="3" destOrd="0" parTransId="{501ABB46-B7C7-40DB-96E6-03158EEBD023}" sibTransId="{4281940B-FC3D-471C-A387-598A7E5CA694}"/>
    <dgm:cxn modelId="{790E8BB9-685D-444F-BF5B-D7C6575EE955}" srcId="{01D1950F-EDFB-4BE1-A64C-6FA367BA1327}" destId="{E33C6FA9-6FA5-4F9A-AD32-86515E281DD0}" srcOrd="0" destOrd="0" parTransId="{9AED7093-F369-40CE-8698-5933489ECF44}" sibTransId="{E55FCE8A-8B02-4B5F-86A2-D210AE9A3D17}"/>
    <dgm:cxn modelId="{10F6D924-2DC9-43AF-ABCA-301954FDD543}" type="presParOf" srcId="{749D4FEA-B31A-4329-A8E9-65ABC16D2A82}" destId="{197D34AB-A523-4ED0-90B0-248C6854207C}" srcOrd="0" destOrd="0" presId="urn:microsoft.com/office/officeart/2005/8/layout/vList2"/>
    <dgm:cxn modelId="{EAE83639-DCED-4B26-9864-93DD75FDFD15}" type="presParOf" srcId="{749D4FEA-B31A-4329-A8E9-65ABC16D2A82}" destId="{3B0253B6-40CB-4ECD-9368-B7523E35BDB2}" srcOrd="1" destOrd="0" presId="urn:microsoft.com/office/officeart/2005/8/layout/vList2"/>
    <dgm:cxn modelId="{E36C5C0C-164F-4861-8698-8DB16E56F00C}" type="presParOf" srcId="{749D4FEA-B31A-4329-A8E9-65ABC16D2A82}" destId="{3DE5B19B-3F7C-4C52-950C-0D669762387D}" srcOrd="2" destOrd="0" presId="urn:microsoft.com/office/officeart/2005/8/layout/vList2"/>
    <dgm:cxn modelId="{378D2D71-609A-4C31-825F-EDA9A37A6052}" type="presParOf" srcId="{749D4FEA-B31A-4329-A8E9-65ABC16D2A82}" destId="{10EFE4F8-7E34-4CDF-9D1C-FDD585E8467F}" srcOrd="3" destOrd="0" presId="urn:microsoft.com/office/officeart/2005/8/layout/vList2"/>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7D34AB-A523-4ED0-90B0-248C6854207C}">
      <dsp:nvSpPr>
        <dsp:cNvPr id="0" name=""/>
        <dsp:cNvSpPr/>
      </dsp:nvSpPr>
      <dsp:spPr>
        <a:xfrm>
          <a:off x="0" y="5901"/>
          <a:ext cx="6713855" cy="204188"/>
        </a:xfrm>
        <a:prstGeom prst="round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latin typeface="Century Gothic" panose="020B0502020202020204" pitchFamily="34" charset="0"/>
              <a:ea typeface="+mn-ea"/>
              <a:cs typeface="+mn-cs"/>
            </a:rPr>
            <a:t>Renters: Factors in Rental Cost</a:t>
          </a:r>
          <a:r>
            <a:rPr lang="en-US" sz="1400" kern="1200">
              <a:latin typeface="Century Gothic" panose="020B0502020202020204" pitchFamily="34" charset="0"/>
              <a:ea typeface="+mn-ea"/>
              <a:cs typeface="+mn-cs"/>
            </a:rPr>
            <a:t>	</a:t>
          </a:r>
        </a:p>
      </dsp:txBody>
      <dsp:txXfrm>
        <a:off x="9968" y="15869"/>
        <a:ext cx="6693919" cy="184252"/>
      </dsp:txXfrm>
    </dsp:sp>
    <dsp:sp modelId="{3B0253B6-40CB-4ECD-9368-B7523E35BDB2}">
      <dsp:nvSpPr>
        <dsp:cNvPr id="0" name=""/>
        <dsp:cNvSpPr/>
      </dsp:nvSpPr>
      <dsp:spPr>
        <a:xfrm>
          <a:off x="0" y="211244"/>
          <a:ext cx="6713855" cy="5150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316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latin typeface="Century Gothic" panose="020B0502020202020204" pitchFamily="34" charset="0"/>
              <a:ea typeface="+mn-ea"/>
              <a:cs typeface="+mn-cs"/>
            </a:rPr>
            <a:t>Rent</a:t>
          </a:r>
        </a:p>
        <a:p>
          <a:pPr marL="57150" lvl="1" indent="-57150" algn="l" defTabSz="444500">
            <a:lnSpc>
              <a:spcPct val="90000"/>
            </a:lnSpc>
            <a:spcBef>
              <a:spcPct val="0"/>
            </a:spcBef>
            <a:spcAft>
              <a:spcPct val="20000"/>
            </a:spcAft>
            <a:buChar char="••"/>
          </a:pPr>
          <a:r>
            <a:rPr lang="en-US" sz="1000" kern="1200">
              <a:latin typeface="Century Gothic" panose="020B0502020202020204" pitchFamily="34" charset="0"/>
              <a:ea typeface="+mn-ea"/>
              <a:cs typeface="+mn-cs"/>
            </a:rPr>
            <a:t>Utilities</a:t>
          </a:r>
        </a:p>
      </dsp:txBody>
      <dsp:txXfrm>
        <a:off x="0" y="211244"/>
        <a:ext cx="6713855" cy="515066"/>
      </dsp:txXfrm>
    </dsp:sp>
    <dsp:sp modelId="{3DE5B19B-3F7C-4C52-950C-0D669762387D}">
      <dsp:nvSpPr>
        <dsp:cNvPr id="0" name=""/>
        <dsp:cNvSpPr/>
      </dsp:nvSpPr>
      <dsp:spPr>
        <a:xfrm>
          <a:off x="0" y="726310"/>
          <a:ext cx="6713855" cy="278418"/>
        </a:xfrm>
        <a:prstGeom prst="round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latin typeface="Century Gothic" panose="020B0502020202020204" pitchFamily="34" charset="0"/>
              <a:ea typeface="+mn-ea"/>
              <a:cs typeface="+mn-cs"/>
            </a:rPr>
            <a:t>Home Owners: Factors in Housing Cost</a:t>
          </a:r>
        </a:p>
      </dsp:txBody>
      <dsp:txXfrm>
        <a:off x="13591" y="739901"/>
        <a:ext cx="6686673" cy="251236"/>
      </dsp:txXfrm>
    </dsp:sp>
    <dsp:sp modelId="{10EFE4F8-7E34-4CDF-9D1C-FDD585E8467F}">
      <dsp:nvSpPr>
        <dsp:cNvPr id="0" name=""/>
        <dsp:cNvSpPr/>
      </dsp:nvSpPr>
      <dsp:spPr>
        <a:xfrm>
          <a:off x="0" y="1004729"/>
          <a:ext cx="6713855" cy="686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3165"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latin typeface="Century Gothic" panose="020B0502020202020204" pitchFamily="34" charset="0"/>
              <a:ea typeface="+mn-ea"/>
              <a:cs typeface="+mn-cs"/>
            </a:rPr>
            <a:t>Mortgage Payment</a:t>
          </a:r>
        </a:p>
        <a:p>
          <a:pPr marL="57150" lvl="1" indent="-57150" algn="l" defTabSz="444500">
            <a:lnSpc>
              <a:spcPct val="90000"/>
            </a:lnSpc>
            <a:spcBef>
              <a:spcPct val="0"/>
            </a:spcBef>
            <a:spcAft>
              <a:spcPct val="20000"/>
            </a:spcAft>
            <a:buChar char="••"/>
          </a:pPr>
          <a:r>
            <a:rPr lang="en-US" sz="1000" kern="1200">
              <a:latin typeface="Century Gothic" panose="020B0502020202020204" pitchFamily="34" charset="0"/>
              <a:ea typeface="+mn-ea"/>
              <a:cs typeface="+mn-cs"/>
            </a:rPr>
            <a:t>Utilities</a:t>
          </a:r>
        </a:p>
        <a:p>
          <a:pPr marL="57150" lvl="1" indent="-57150" algn="l" defTabSz="444500">
            <a:lnSpc>
              <a:spcPct val="90000"/>
            </a:lnSpc>
            <a:spcBef>
              <a:spcPct val="0"/>
            </a:spcBef>
            <a:spcAft>
              <a:spcPct val="20000"/>
            </a:spcAft>
            <a:buChar char="••"/>
          </a:pPr>
          <a:r>
            <a:rPr lang="en-US" sz="1000" kern="1200">
              <a:latin typeface="Century Gothic" panose="020B0502020202020204" pitchFamily="34" charset="0"/>
              <a:ea typeface="+mn-ea"/>
              <a:cs typeface="+mn-cs"/>
            </a:rPr>
            <a:t>Association Fees</a:t>
          </a:r>
        </a:p>
        <a:p>
          <a:pPr marL="57150" lvl="1" indent="-57150" algn="l" defTabSz="444500">
            <a:lnSpc>
              <a:spcPct val="90000"/>
            </a:lnSpc>
            <a:spcBef>
              <a:spcPct val="0"/>
            </a:spcBef>
            <a:spcAft>
              <a:spcPct val="20000"/>
            </a:spcAft>
            <a:buChar char="••"/>
          </a:pPr>
          <a:r>
            <a:rPr lang="en-US" sz="1000" kern="1200">
              <a:latin typeface="Century Gothic" panose="020B0502020202020204" pitchFamily="34" charset="0"/>
              <a:ea typeface="+mn-ea"/>
              <a:cs typeface="+mn-cs"/>
            </a:rPr>
            <a:t>Insurance and Real Estates Taxes</a:t>
          </a:r>
        </a:p>
      </dsp:txBody>
      <dsp:txXfrm>
        <a:off x="0" y="1004729"/>
        <a:ext cx="6713855" cy="68620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9623BB35A244D0894AE2584E7A8C636"/>
        <w:category>
          <w:name w:val="General"/>
          <w:gallery w:val="placeholder"/>
        </w:category>
        <w:types>
          <w:type w:val="bbPlcHdr"/>
        </w:types>
        <w:behaviors>
          <w:behavior w:val="content"/>
        </w:behaviors>
        <w:guid w:val="{68F3F8FA-BCC6-4324-8E2F-05B403E01C92}"/>
      </w:docPartPr>
      <w:docPartBody>
        <w:p w:rsidR="00A12A4A" w:rsidRDefault="00A12A4A" w:rsidP="00A12A4A">
          <w:pPr>
            <w:pStyle w:val="B9623BB35A244D0894AE2584E7A8C63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31"/>
    <w:rsid w:val="00034034"/>
    <w:rsid w:val="000625FD"/>
    <w:rsid w:val="00094D24"/>
    <w:rsid w:val="000C104A"/>
    <w:rsid w:val="0013336B"/>
    <w:rsid w:val="00135A5D"/>
    <w:rsid w:val="001661A9"/>
    <w:rsid w:val="001B7BE1"/>
    <w:rsid w:val="001F7A72"/>
    <w:rsid w:val="002057F3"/>
    <w:rsid w:val="00213371"/>
    <w:rsid w:val="00223335"/>
    <w:rsid w:val="00232256"/>
    <w:rsid w:val="00237C5F"/>
    <w:rsid w:val="002952EE"/>
    <w:rsid w:val="002A5D4B"/>
    <w:rsid w:val="002B616A"/>
    <w:rsid w:val="002B767B"/>
    <w:rsid w:val="002C09C2"/>
    <w:rsid w:val="002E3B52"/>
    <w:rsid w:val="0032203A"/>
    <w:rsid w:val="00357DEE"/>
    <w:rsid w:val="00383807"/>
    <w:rsid w:val="003D59FE"/>
    <w:rsid w:val="003E7AC3"/>
    <w:rsid w:val="00400218"/>
    <w:rsid w:val="004210CC"/>
    <w:rsid w:val="004830DC"/>
    <w:rsid w:val="00494246"/>
    <w:rsid w:val="0053777D"/>
    <w:rsid w:val="00556867"/>
    <w:rsid w:val="00575617"/>
    <w:rsid w:val="005776FC"/>
    <w:rsid w:val="00584008"/>
    <w:rsid w:val="006041E5"/>
    <w:rsid w:val="00653588"/>
    <w:rsid w:val="006659B0"/>
    <w:rsid w:val="006662C9"/>
    <w:rsid w:val="00704E31"/>
    <w:rsid w:val="00727D2D"/>
    <w:rsid w:val="00770E41"/>
    <w:rsid w:val="00774B2D"/>
    <w:rsid w:val="007F3AFF"/>
    <w:rsid w:val="00805CA6"/>
    <w:rsid w:val="00860A67"/>
    <w:rsid w:val="00875C14"/>
    <w:rsid w:val="008B0400"/>
    <w:rsid w:val="008F04A4"/>
    <w:rsid w:val="00932861"/>
    <w:rsid w:val="00955C10"/>
    <w:rsid w:val="009A3A1B"/>
    <w:rsid w:val="009B21F5"/>
    <w:rsid w:val="009E3740"/>
    <w:rsid w:val="00A051E9"/>
    <w:rsid w:val="00A12A4A"/>
    <w:rsid w:val="00A37E77"/>
    <w:rsid w:val="00A60B52"/>
    <w:rsid w:val="00AA59DA"/>
    <w:rsid w:val="00AD6633"/>
    <w:rsid w:val="00B31C63"/>
    <w:rsid w:val="00B65682"/>
    <w:rsid w:val="00B70F51"/>
    <w:rsid w:val="00BC13F8"/>
    <w:rsid w:val="00BD462A"/>
    <w:rsid w:val="00C01B47"/>
    <w:rsid w:val="00C01FF7"/>
    <w:rsid w:val="00C16A2F"/>
    <w:rsid w:val="00C9511A"/>
    <w:rsid w:val="00CD0E6C"/>
    <w:rsid w:val="00D00C0D"/>
    <w:rsid w:val="00DE151C"/>
    <w:rsid w:val="00DF7275"/>
    <w:rsid w:val="00E676B1"/>
    <w:rsid w:val="00E7253C"/>
    <w:rsid w:val="00EB6A41"/>
    <w:rsid w:val="00ED5222"/>
    <w:rsid w:val="00F70FEE"/>
    <w:rsid w:val="00FA1A7C"/>
    <w:rsid w:val="00FA3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803801816C463EBC960EFD3FAEDEC0">
    <w:name w:val="37803801816C463EBC960EFD3FAEDEC0"/>
    <w:rsid w:val="00704E31"/>
  </w:style>
  <w:style w:type="paragraph" w:customStyle="1" w:styleId="F1748B86BA124B3CB51F2AD58984E058">
    <w:name w:val="F1748B86BA124B3CB51F2AD58984E058"/>
    <w:rsid w:val="00704E31"/>
  </w:style>
  <w:style w:type="paragraph" w:customStyle="1" w:styleId="FA469A1A8B764D8A8D9D5A2D556C016B">
    <w:name w:val="FA469A1A8B764D8A8D9D5A2D556C016B"/>
    <w:rsid w:val="00955C10"/>
  </w:style>
  <w:style w:type="paragraph" w:customStyle="1" w:styleId="9D38C0B4C3D1469186D7003AEF3E084C">
    <w:name w:val="9D38C0B4C3D1469186D7003AEF3E084C"/>
    <w:rsid w:val="000C104A"/>
  </w:style>
  <w:style w:type="paragraph" w:customStyle="1" w:styleId="B9623BB35A244D0894AE2584E7A8C636">
    <w:name w:val="B9623BB35A244D0894AE2584E7A8C636"/>
    <w:rsid w:val="00A12A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803801816C463EBC960EFD3FAEDEC0">
    <w:name w:val="37803801816C463EBC960EFD3FAEDEC0"/>
    <w:rsid w:val="00704E31"/>
  </w:style>
  <w:style w:type="paragraph" w:customStyle="1" w:styleId="F1748B86BA124B3CB51F2AD58984E058">
    <w:name w:val="F1748B86BA124B3CB51F2AD58984E058"/>
    <w:rsid w:val="00704E31"/>
  </w:style>
  <w:style w:type="paragraph" w:customStyle="1" w:styleId="FA469A1A8B764D8A8D9D5A2D556C016B">
    <w:name w:val="FA469A1A8B764D8A8D9D5A2D556C016B"/>
    <w:rsid w:val="00955C10"/>
  </w:style>
  <w:style w:type="paragraph" w:customStyle="1" w:styleId="9D38C0B4C3D1469186D7003AEF3E084C">
    <w:name w:val="9D38C0B4C3D1469186D7003AEF3E084C"/>
    <w:rsid w:val="000C104A"/>
  </w:style>
  <w:style w:type="paragraph" w:customStyle="1" w:styleId="B9623BB35A244D0894AE2584E7A8C636">
    <w:name w:val="B9623BB35A244D0894AE2584E7A8C636"/>
    <w:rsid w:val="00A12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28B82-62F7-474B-9466-5E0889C65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10410</Words>
  <Characters>59340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Town of Newmarket, New Hampshire</vt:lpstr>
    </vt:vector>
  </TitlesOfParts>
  <Company>Hewlett-Packard Company</Company>
  <LinksUpToDate>false</LinksUpToDate>
  <CharactersWithSpaces>69611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Newmarket, New Hampshire</dc:title>
  <dc:creator>Kyle Pimental</dc:creator>
  <cp:lastModifiedBy>Sue Jordan</cp:lastModifiedBy>
  <cp:revision>8</cp:revision>
  <cp:lastPrinted>2015-08-31T16:25:00Z</cp:lastPrinted>
  <dcterms:created xsi:type="dcterms:W3CDTF">2015-08-31T16:06:00Z</dcterms:created>
  <dcterms:modified xsi:type="dcterms:W3CDTF">2015-08-31T16:28:00Z</dcterms:modified>
</cp:coreProperties>
</file>