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87" w:rsidRPr="00A25C36" w:rsidRDefault="00F32987" w:rsidP="00F32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-450"/>
      </w:pPr>
      <w:r w:rsidRPr="00A25C36">
        <w:t xml:space="preserve">                                                                                                       </w:t>
      </w:r>
      <w:r w:rsidRPr="00A25C36">
        <w:tab/>
      </w:r>
      <w:r w:rsidRPr="00A25C36">
        <w:tab/>
        <w:t xml:space="preserve">                                                 Draft Minutes</w:t>
      </w:r>
    </w:p>
    <w:p w:rsidR="00A25C36" w:rsidRDefault="00A25C36" w:rsidP="00F32987">
      <w:pPr>
        <w:ind w:left="-630" w:right="-450"/>
      </w:pPr>
    </w:p>
    <w:p w:rsidR="00F32987" w:rsidRDefault="00F32987" w:rsidP="00F32987">
      <w:pPr>
        <w:ind w:left="-630" w:right="-450"/>
      </w:pPr>
      <w:r w:rsidRPr="00A25C36">
        <w:t>TOWN OF NEWMARKET, NH</w:t>
      </w:r>
      <w:r w:rsidRPr="00A25C36">
        <w:br/>
      </w:r>
      <w:r w:rsidRPr="00A25C36">
        <w:rPr>
          <w:b/>
        </w:rPr>
        <w:t>ECONOMIC DEVELOPMENT COMMITTEE</w:t>
      </w:r>
      <w:r w:rsidRPr="00A25C36">
        <w:br/>
        <w:t>February 26, 2015</w:t>
      </w:r>
      <w:r w:rsidRPr="00A25C36">
        <w:br/>
        <w:t>5:30 PM Town Council Chambers</w:t>
      </w:r>
    </w:p>
    <w:p w:rsidR="00A25C36" w:rsidRPr="00A25C36" w:rsidRDefault="00A25C36" w:rsidP="00F32987">
      <w:pPr>
        <w:ind w:left="-630" w:right="-450"/>
      </w:pPr>
    </w:p>
    <w:p w:rsidR="00F32987" w:rsidRPr="00A25C36" w:rsidRDefault="00F32987" w:rsidP="00F32987">
      <w:pPr>
        <w:ind w:left="-630" w:right="-450"/>
      </w:pPr>
      <w:r w:rsidRPr="00A25C36">
        <w:rPr>
          <w:u w:val="single"/>
        </w:rPr>
        <w:t>Members Present</w:t>
      </w:r>
      <w:r w:rsidRPr="00A25C36">
        <w:t>: Chairman Gary Levy (Town Councilor Rep), Philip Nazzaro (Town Councilor Rep), Leo Filion (NCDC Rep), Valerie Shelton (Planning Board Rep), Bill Arcieri (Member at Large), and Steve Fournier (Town Administrator)</w:t>
      </w:r>
    </w:p>
    <w:p w:rsidR="00F32987" w:rsidRPr="00A25C36" w:rsidRDefault="00F32987" w:rsidP="00F32987">
      <w:pPr>
        <w:ind w:left="-630" w:right="-450"/>
        <w:rPr>
          <w:i/>
        </w:rPr>
      </w:pPr>
      <w:r w:rsidRPr="00A25C36">
        <w:rPr>
          <w:u w:val="single"/>
        </w:rPr>
        <w:t>Members Absent</w:t>
      </w:r>
      <w:r w:rsidRPr="00A25C36">
        <w:rPr>
          <w:i/>
        </w:rPr>
        <w:t xml:space="preserve">: </w:t>
      </w:r>
      <w:r w:rsidRPr="00A25C36">
        <w:t>Gerry O’Connell (Member at Large), Amy Thompson (Member at Large),</w:t>
      </w:r>
      <w:r w:rsidRPr="00A25C36">
        <w:rPr>
          <w:i/>
        </w:rPr>
        <w:t xml:space="preserve"> </w:t>
      </w:r>
      <w:r w:rsidRPr="00A25C36">
        <w:t xml:space="preserve">Michael Provost (Business Association), </w:t>
      </w:r>
      <w:r w:rsidR="00BA2E0F" w:rsidRPr="00A25C36">
        <w:t xml:space="preserve">and </w:t>
      </w:r>
      <w:r w:rsidRPr="00A25C36">
        <w:t>Jay Dougal (NCDC Rep)</w:t>
      </w:r>
      <w:r w:rsidRPr="00A25C36">
        <w:rPr>
          <w:i/>
        </w:rPr>
        <w:tab/>
      </w:r>
    </w:p>
    <w:p w:rsidR="002F7EF7" w:rsidRPr="00A25C36" w:rsidRDefault="00F32987" w:rsidP="00F32987">
      <w:pPr>
        <w:ind w:left="-630" w:right="-450"/>
      </w:pPr>
      <w:r w:rsidRPr="00A25C36">
        <w:rPr>
          <w:u w:val="single"/>
        </w:rPr>
        <w:t>Meeting Called To Order</w:t>
      </w:r>
      <w:r w:rsidRPr="00A25C36">
        <w:rPr>
          <w:i/>
        </w:rPr>
        <w:t xml:space="preserve">:  </w:t>
      </w:r>
      <w:r w:rsidRPr="00A25C36">
        <w:t>5:34 PM</w:t>
      </w:r>
    </w:p>
    <w:p w:rsidR="007B583C" w:rsidRPr="00A25C36" w:rsidRDefault="002F7EF7" w:rsidP="00B97CE3">
      <w:pPr>
        <w:ind w:left="-630" w:right="-450"/>
        <w:rPr>
          <w:u w:val="single"/>
        </w:rPr>
      </w:pPr>
      <w:r w:rsidRPr="00A25C36">
        <w:rPr>
          <w:u w:val="single"/>
        </w:rPr>
        <w:t>Agenda:</w:t>
      </w:r>
    </w:p>
    <w:p w:rsidR="00E71C6C" w:rsidRDefault="002F7EF7" w:rsidP="00B97CE3">
      <w:pPr>
        <w:ind w:left="-630" w:right="-450"/>
      </w:pPr>
      <w:r w:rsidRPr="00A25C36">
        <w:rPr>
          <w:b/>
        </w:rPr>
        <w:t>Review</w:t>
      </w:r>
      <w:r w:rsidR="00B97CE3" w:rsidRPr="00A25C36">
        <w:rPr>
          <w:b/>
        </w:rPr>
        <w:t xml:space="preserve"> of</w:t>
      </w:r>
      <w:r w:rsidRPr="00A25C36">
        <w:rPr>
          <w:b/>
        </w:rPr>
        <w:t xml:space="preserve"> </w:t>
      </w:r>
      <w:r w:rsidR="003D38CD" w:rsidRPr="00A25C36">
        <w:rPr>
          <w:b/>
        </w:rPr>
        <w:t xml:space="preserve">the </w:t>
      </w:r>
      <w:r w:rsidR="008817DF" w:rsidRPr="00A25C36">
        <w:rPr>
          <w:b/>
        </w:rPr>
        <w:t>Fiscal Impact Analysis – Hypothetical Senior Housing Scenarios</w:t>
      </w:r>
      <w:r w:rsidR="008817DF" w:rsidRPr="00A25C36">
        <w:t xml:space="preserve"> d</w:t>
      </w:r>
      <w:r w:rsidR="00CF30DB" w:rsidRPr="00A25C36">
        <w:t>ated February 10, 2015 prepared</w:t>
      </w:r>
      <w:r w:rsidR="008817DF" w:rsidRPr="00A25C36">
        <w:t xml:space="preserve"> by Mr. John Connery, Connery Associates, Melrose, MA.</w:t>
      </w:r>
      <w:r w:rsidRPr="00A25C36">
        <w:t xml:space="preserve"> Mr. John Connery </w:t>
      </w:r>
      <w:r w:rsidR="00B97CE3" w:rsidRPr="00A25C36">
        <w:t>will</w:t>
      </w:r>
      <w:r w:rsidR="008817DF" w:rsidRPr="00A25C36">
        <w:t xml:space="preserve"> present</w:t>
      </w:r>
      <w:r w:rsidR="00B97CE3" w:rsidRPr="00A25C36">
        <w:t xml:space="preserve"> his findings </w:t>
      </w:r>
      <w:r w:rsidR="00016B86">
        <w:t>from</w:t>
      </w:r>
      <w:r w:rsidR="00B97CE3" w:rsidRPr="00A25C36">
        <w:t xml:space="preserve"> </w:t>
      </w:r>
      <w:r w:rsidR="00016B86">
        <w:t>his</w:t>
      </w:r>
      <w:r w:rsidR="00B97CE3" w:rsidRPr="00A25C36">
        <w:t xml:space="preserve"> previous d</w:t>
      </w:r>
      <w:r w:rsidRPr="00A25C36">
        <w:t xml:space="preserve">iscussions </w:t>
      </w:r>
      <w:r w:rsidR="00B97CE3" w:rsidRPr="00A25C36">
        <w:t xml:space="preserve">with the EDC. </w:t>
      </w:r>
      <w:r w:rsidRPr="00A25C36">
        <w:t xml:space="preserve">Mr. Connery began his discussion with a preface that he examined the two properties agreed </w:t>
      </w:r>
      <w:r w:rsidR="00BA2E0F" w:rsidRPr="00A25C36">
        <w:t>upon</w:t>
      </w:r>
      <w:r w:rsidRPr="00A25C36">
        <w:t xml:space="preserve"> at the last meeting</w:t>
      </w:r>
      <w:r w:rsidR="00B97CE3" w:rsidRPr="00A25C36">
        <w:t xml:space="preserve"> with specific focus on senior housing, in particular, CCRC (Continuing Care Retirement Community). His discussion will include stand-alone senior housing, assisted living, skilled nursing, memory care facilities or combinations thereof.</w:t>
      </w:r>
      <w:r w:rsidR="007B583C" w:rsidRPr="00A25C36">
        <w:t xml:space="preserve"> The two models follow:</w:t>
      </w:r>
    </w:p>
    <w:p w:rsidR="00016B86" w:rsidRPr="00A25C36" w:rsidRDefault="00016B86" w:rsidP="00B97CE3">
      <w:pPr>
        <w:ind w:left="-630" w:right="-450"/>
      </w:pPr>
    </w:p>
    <w:p w:rsidR="002F7EF7" w:rsidRPr="00A25C36" w:rsidRDefault="007D4102" w:rsidP="00B97CE3">
      <w:pPr>
        <w:pStyle w:val="ListParagraph"/>
        <w:numPr>
          <w:ilvl w:val="0"/>
          <w:numId w:val="2"/>
        </w:numPr>
        <w:ind w:right="-450"/>
      </w:pPr>
      <w:r w:rsidRPr="00A25C36">
        <w:rPr>
          <w:u w:val="single"/>
        </w:rPr>
        <w:t>Scenario</w:t>
      </w:r>
      <w:r w:rsidR="002F7EF7" w:rsidRPr="00A25C36">
        <w:rPr>
          <w:u w:val="single"/>
        </w:rPr>
        <w:t xml:space="preserve"> #</w:t>
      </w:r>
      <w:r w:rsidR="00E71C6C" w:rsidRPr="00A25C36">
        <w:rPr>
          <w:u w:val="single"/>
        </w:rPr>
        <w:t xml:space="preserve">1 in the B-3 area of the </w:t>
      </w:r>
      <w:r w:rsidR="0014286A" w:rsidRPr="00A25C36">
        <w:rPr>
          <w:u w:val="single"/>
        </w:rPr>
        <w:t>Rt. 152 (gravel pit</w:t>
      </w:r>
      <w:r w:rsidR="004C3EF6" w:rsidRPr="00A25C36">
        <w:rPr>
          <w:u w:val="single"/>
        </w:rPr>
        <w:t xml:space="preserve"> -150 acres</w:t>
      </w:r>
      <w:r w:rsidR="0014286A" w:rsidRPr="00A25C36">
        <w:rPr>
          <w:u w:val="single"/>
        </w:rPr>
        <w:t>)</w:t>
      </w:r>
      <w:r w:rsidR="00E71C6C" w:rsidRPr="00A25C36">
        <w:t xml:space="preserve"> includes 150 units:</w:t>
      </w:r>
      <w:r w:rsidR="002F7EF7" w:rsidRPr="00A25C36">
        <w:t xml:space="preserve"> 120 Assisted Living</w:t>
      </w:r>
      <w:r w:rsidR="00E71C6C" w:rsidRPr="00A25C36">
        <w:t xml:space="preserve"> Units, 30 D</w:t>
      </w:r>
      <w:r w:rsidR="002F7EF7" w:rsidRPr="00A25C36">
        <w:t>em</w:t>
      </w:r>
      <w:r w:rsidR="00E71C6C" w:rsidRPr="00A25C36">
        <w:t>entia</w:t>
      </w:r>
      <w:r w:rsidR="002F7EF7" w:rsidRPr="00A25C36">
        <w:t>/</w:t>
      </w:r>
      <w:r w:rsidR="00E71C6C" w:rsidRPr="00A25C36">
        <w:t>Alzheimer’s</w:t>
      </w:r>
      <w:r w:rsidR="002F7EF7" w:rsidRPr="00A25C36">
        <w:t xml:space="preserve"> units. He also included a small, </w:t>
      </w:r>
      <w:r w:rsidR="00E71C6C" w:rsidRPr="00A25C36">
        <w:t>neighborhood</w:t>
      </w:r>
      <w:r w:rsidR="002F7EF7" w:rsidRPr="00A25C36">
        <w:t xml:space="preserve"> </w:t>
      </w:r>
      <w:r w:rsidR="00E71C6C" w:rsidRPr="00A25C36">
        <w:t>commercial</w:t>
      </w:r>
      <w:r w:rsidR="002F7EF7" w:rsidRPr="00A25C36">
        <w:t xml:space="preserve"> node of 10,000 </w:t>
      </w:r>
      <w:r w:rsidR="00105E6E" w:rsidRPr="00A25C36">
        <w:t>sq</w:t>
      </w:r>
      <w:r w:rsidRPr="00A25C36">
        <w:t xml:space="preserve"> f</w:t>
      </w:r>
      <w:r w:rsidR="002F7EF7" w:rsidRPr="00A25C36">
        <w:t xml:space="preserve">t.  This does not necessarily mean one large building, but </w:t>
      </w:r>
      <w:r w:rsidR="00105E6E" w:rsidRPr="00A25C36">
        <w:t>might</w:t>
      </w:r>
      <w:r w:rsidR="002F7EF7" w:rsidRPr="00A25C36">
        <w:t xml:space="preserve"> </w:t>
      </w:r>
      <w:r w:rsidR="00016B86">
        <w:t>include</w:t>
      </w:r>
      <w:r w:rsidR="002F7EF7" w:rsidRPr="00A25C36">
        <w:t xml:space="preserve"> smaller</w:t>
      </w:r>
      <w:r w:rsidR="00E71C6C" w:rsidRPr="00A25C36">
        <w:t xml:space="preserve"> facilities to service the area. </w:t>
      </w:r>
      <w:r w:rsidR="00105E6E" w:rsidRPr="00A25C36">
        <w:t>S</w:t>
      </w:r>
      <w:r w:rsidR="0014286A" w:rsidRPr="00A25C36">
        <w:t xml:space="preserve">ignificant remediation to the </w:t>
      </w:r>
      <w:r w:rsidR="00105E6E" w:rsidRPr="00A25C36">
        <w:t>land</w:t>
      </w:r>
      <w:r w:rsidR="0014286A" w:rsidRPr="00A25C36">
        <w:t xml:space="preserve"> may drive the </w:t>
      </w:r>
      <w:r w:rsidR="00CF30DB" w:rsidRPr="00A25C36">
        <w:t>costs</w:t>
      </w:r>
      <w:r w:rsidR="0014286A" w:rsidRPr="00A25C36">
        <w:t xml:space="preserve"> up for a potential developer. He based </w:t>
      </w:r>
      <w:r w:rsidR="00105E6E" w:rsidRPr="00A25C36">
        <w:t xml:space="preserve">this </w:t>
      </w:r>
      <w:r w:rsidR="00016B86">
        <w:t xml:space="preserve">particular </w:t>
      </w:r>
      <w:r w:rsidR="00105E6E" w:rsidRPr="00A25C36">
        <w:t xml:space="preserve">model </w:t>
      </w:r>
      <w:r w:rsidR="0014286A" w:rsidRPr="00A25C36">
        <w:t xml:space="preserve">on the Wadleigh Falls Senior Housing in Newmarket as the low end base for his projections. </w:t>
      </w:r>
      <w:r w:rsidR="009036FC" w:rsidRPr="00A25C36">
        <w:t xml:space="preserve">The conversation also involved a detailed discussion of Spruce Woods in Durham and the four different pods </w:t>
      </w:r>
      <w:r w:rsidR="00105E6E" w:rsidRPr="00A25C36">
        <w:t>with</w:t>
      </w:r>
      <w:r w:rsidR="009036FC" w:rsidRPr="00A25C36">
        <w:t xml:space="preserve">in </w:t>
      </w:r>
      <w:r w:rsidRPr="00A25C36">
        <w:t>that</w:t>
      </w:r>
      <w:r w:rsidR="009036FC" w:rsidRPr="00A25C36">
        <w:t xml:space="preserve"> development. The more active people</w:t>
      </w:r>
      <w:r w:rsidR="007501A0" w:rsidRPr="00A25C36">
        <w:t xml:space="preserve"> l</w:t>
      </w:r>
      <w:r w:rsidRPr="00A25C36">
        <w:t>iving with</w:t>
      </w:r>
      <w:r w:rsidR="009036FC" w:rsidRPr="00A25C36">
        <w:t xml:space="preserve">in the </w:t>
      </w:r>
      <w:r w:rsidR="00105E6E" w:rsidRPr="00A25C36">
        <w:t xml:space="preserve">model </w:t>
      </w:r>
      <w:r w:rsidR="009036FC" w:rsidRPr="00A25C36">
        <w:t xml:space="preserve">development </w:t>
      </w:r>
      <w:r w:rsidR="00105E6E" w:rsidRPr="00A25C36">
        <w:t>living in</w:t>
      </w:r>
      <w:r w:rsidR="009036FC" w:rsidRPr="00A25C36">
        <w:t xml:space="preserve"> condo</w:t>
      </w:r>
      <w:r w:rsidR="007501A0" w:rsidRPr="00A25C36">
        <w:t>s</w:t>
      </w:r>
      <w:r w:rsidR="00105E6E" w:rsidRPr="00A25C36">
        <w:t xml:space="preserve"> or townhomes</w:t>
      </w:r>
      <w:r w:rsidR="009036FC" w:rsidRPr="00A25C36">
        <w:t xml:space="preserve"> will drive the ratio up for costs of police and fire. </w:t>
      </w:r>
      <w:r w:rsidR="00BA2E0F" w:rsidRPr="00A25C36">
        <w:t>The developer would be responsible for the cost of bring</w:t>
      </w:r>
      <w:r w:rsidRPr="00A25C36">
        <w:t>ing</w:t>
      </w:r>
      <w:r w:rsidR="00BA2E0F" w:rsidRPr="00A25C36">
        <w:t xml:space="preserve"> sewer </w:t>
      </w:r>
      <w:r w:rsidR="00016B86">
        <w:t>to the area (</w:t>
      </w:r>
      <w:r w:rsidRPr="00A25C36">
        <w:t>approximately ½ mile</w:t>
      </w:r>
      <w:r w:rsidR="00016B86">
        <w:t>).</w:t>
      </w:r>
      <w:r w:rsidRPr="00A25C36">
        <w:t xml:space="preserve"> Mr. Connery felt that this</w:t>
      </w:r>
      <w:r w:rsidR="00AB0D35" w:rsidRPr="00A25C36">
        <w:t xml:space="preserve"> cost</w:t>
      </w:r>
      <w:r w:rsidRPr="00A25C36">
        <w:t xml:space="preserve"> would not be prohibitive to a potential developer.</w:t>
      </w:r>
    </w:p>
    <w:p w:rsidR="00B97CE3" w:rsidRPr="00A25C36" w:rsidRDefault="00B97CE3" w:rsidP="00B97CE3">
      <w:pPr>
        <w:pStyle w:val="ListParagraph"/>
        <w:ind w:left="90" w:right="-450"/>
      </w:pPr>
    </w:p>
    <w:p w:rsidR="00E71C6C" w:rsidRPr="00A25C36" w:rsidRDefault="007D4102" w:rsidP="00B97CE3">
      <w:pPr>
        <w:pStyle w:val="ListParagraph"/>
        <w:numPr>
          <w:ilvl w:val="0"/>
          <w:numId w:val="2"/>
        </w:numPr>
        <w:ind w:right="-450"/>
      </w:pPr>
      <w:r w:rsidRPr="00A25C36">
        <w:rPr>
          <w:u w:val="single"/>
        </w:rPr>
        <w:t>Scenario</w:t>
      </w:r>
      <w:r w:rsidR="0014286A" w:rsidRPr="00A25C36">
        <w:rPr>
          <w:u w:val="single"/>
        </w:rPr>
        <w:t xml:space="preserve"> #2 on the </w:t>
      </w:r>
      <w:r w:rsidR="00E71C6C" w:rsidRPr="00A25C36">
        <w:rPr>
          <w:u w:val="single"/>
        </w:rPr>
        <w:t>Wilson/Hamm</w:t>
      </w:r>
      <w:r w:rsidR="0014286A" w:rsidRPr="00A25C36">
        <w:rPr>
          <w:u w:val="single"/>
        </w:rPr>
        <w:t xml:space="preserve"> </w:t>
      </w:r>
      <w:r w:rsidR="00016B86">
        <w:rPr>
          <w:u w:val="single"/>
        </w:rPr>
        <w:t>property</w:t>
      </w:r>
      <w:r w:rsidR="00E71C6C" w:rsidRPr="00A25C36">
        <w:t xml:space="preserve">.  This property is limited by </w:t>
      </w:r>
      <w:r w:rsidR="00016B86">
        <w:t xml:space="preserve">the </w:t>
      </w:r>
      <w:r w:rsidR="00105E6E" w:rsidRPr="00A25C36">
        <w:t>current</w:t>
      </w:r>
      <w:r w:rsidR="00E71C6C" w:rsidRPr="00A25C36">
        <w:t xml:space="preserve"> </w:t>
      </w:r>
      <w:r w:rsidR="00BA2E0F" w:rsidRPr="00A25C36">
        <w:t xml:space="preserve">rural </w:t>
      </w:r>
      <w:r w:rsidR="00E71C6C" w:rsidRPr="00A25C36">
        <w:t xml:space="preserve">roadway access </w:t>
      </w:r>
      <w:r w:rsidR="00105E6E" w:rsidRPr="00A25C36">
        <w:t xml:space="preserve">on New Road </w:t>
      </w:r>
      <w:r w:rsidR="00E71C6C" w:rsidRPr="00A25C36">
        <w:t xml:space="preserve">and </w:t>
      </w:r>
      <w:r w:rsidR="00105E6E" w:rsidRPr="00A25C36">
        <w:t>any development might</w:t>
      </w:r>
      <w:r w:rsidR="0014286A" w:rsidRPr="00A25C36">
        <w:t xml:space="preserve"> </w:t>
      </w:r>
      <w:r w:rsidR="009036FC" w:rsidRPr="00A25C36">
        <w:t xml:space="preserve">be reduced </w:t>
      </w:r>
      <w:r w:rsidR="00CF30DB" w:rsidRPr="00A25C36">
        <w:t xml:space="preserve">to </w:t>
      </w:r>
      <w:r w:rsidR="00BA2E0F" w:rsidRPr="00A25C36">
        <w:t>approximately</w:t>
      </w:r>
      <w:r w:rsidR="009036FC" w:rsidRPr="00A25C36">
        <w:t xml:space="preserve"> 10 acre</w:t>
      </w:r>
      <w:r w:rsidR="00E71C6C" w:rsidRPr="00A25C36">
        <w:t xml:space="preserve">s </w:t>
      </w:r>
      <w:r w:rsidR="0014286A" w:rsidRPr="00A25C36">
        <w:t xml:space="preserve">and the </w:t>
      </w:r>
      <w:r w:rsidR="00105E6E" w:rsidRPr="00A25C36">
        <w:t>remaining land would</w:t>
      </w:r>
      <w:r w:rsidR="0014286A" w:rsidRPr="00A25C36">
        <w:t xml:space="preserve"> remain </w:t>
      </w:r>
      <w:r w:rsidR="00E71C6C" w:rsidRPr="00A25C36">
        <w:t>rural. There would not be any commercial</w:t>
      </w:r>
      <w:r w:rsidRPr="00A25C36">
        <w:t xml:space="preserve"> possibilities</w:t>
      </w:r>
      <w:r w:rsidR="00105E6E" w:rsidRPr="00A25C36">
        <w:t xml:space="preserve"> at this site because of the</w:t>
      </w:r>
      <w:r w:rsidR="00016B86">
        <w:t xml:space="preserve"> above mentioned</w:t>
      </w:r>
      <w:r w:rsidR="00105E6E" w:rsidRPr="00A25C36">
        <w:t xml:space="preserve"> limitations.</w:t>
      </w:r>
      <w:r w:rsidR="00CF30DB" w:rsidRPr="00A25C36">
        <w:t xml:space="preserve"> </w:t>
      </w:r>
      <w:r w:rsidR="00105E6E" w:rsidRPr="00A25C36">
        <w:t>Much of the</w:t>
      </w:r>
      <w:r w:rsidR="00E71C6C" w:rsidRPr="00A25C36">
        <w:t xml:space="preserve"> p</w:t>
      </w:r>
      <w:r w:rsidR="0014286A" w:rsidRPr="00A25C36">
        <w:t xml:space="preserve">roperty would </w:t>
      </w:r>
      <w:r w:rsidR="00105E6E" w:rsidRPr="00A25C36">
        <w:t>remain</w:t>
      </w:r>
      <w:r w:rsidR="0014286A" w:rsidRPr="00A25C36">
        <w:t xml:space="preserve"> available for </w:t>
      </w:r>
      <w:r w:rsidR="00E71C6C" w:rsidRPr="00A25C36">
        <w:t>trails and outdoor recreation.</w:t>
      </w:r>
      <w:r w:rsidR="00BA2E0F" w:rsidRPr="00A25C36">
        <w:t xml:space="preserve"> </w:t>
      </w:r>
    </w:p>
    <w:p w:rsidR="00105E6E" w:rsidRDefault="00105E6E" w:rsidP="00105E6E">
      <w:pPr>
        <w:pStyle w:val="ListParagraph"/>
        <w:ind w:left="90" w:right="-450"/>
      </w:pPr>
    </w:p>
    <w:p w:rsidR="00016B86" w:rsidRPr="00A25C36" w:rsidRDefault="00016B86" w:rsidP="00105E6E">
      <w:pPr>
        <w:pStyle w:val="ListParagraph"/>
        <w:ind w:left="90" w:right="-450"/>
      </w:pPr>
    </w:p>
    <w:p w:rsidR="00BA2E0F" w:rsidRPr="00A25C36" w:rsidRDefault="00105E6E" w:rsidP="00F32987">
      <w:pPr>
        <w:ind w:left="-630" w:right="-450"/>
      </w:pPr>
      <w:r w:rsidRPr="00A25C36">
        <w:t xml:space="preserve">Any possibilities </w:t>
      </w:r>
      <w:r w:rsidR="00A25C36">
        <w:t xml:space="preserve">for development </w:t>
      </w:r>
      <w:r w:rsidRPr="00A25C36">
        <w:t xml:space="preserve">on </w:t>
      </w:r>
      <w:r w:rsidR="00BA2E0F" w:rsidRPr="00A25C36">
        <w:t xml:space="preserve">Rt. 108 </w:t>
      </w:r>
      <w:r w:rsidRPr="00A25C36">
        <w:t>may</w:t>
      </w:r>
      <w:r w:rsidR="00BA2E0F" w:rsidRPr="00A25C36">
        <w:t xml:space="preserve"> be restricted by the necessity to </w:t>
      </w:r>
      <w:r w:rsidR="00CF30DB" w:rsidRPr="00A25C36">
        <w:t>accumulate</w:t>
      </w:r>
      <w:r w:rsidR="00BA2E0F" w:rsidRPr="00A25C36">
        <w:t xml:space="preserve"> large </w:t>
      </w:r>
      <w:r w:rsidR="00AB0D35" w:rsidRPr="00A25C36">
        <w:t>parcels</w:t>
      </w:r>
      <w:r w:rsidR="00BA2E0F" w:rsidRPr="00A25C36">
        <w:t xml:space="preserve"> of property.  The prope</w:t>
      </w:r>
      <w:r w:rsidR="00AB0D35" w:rsidRPr="00A25C36">
        <w:t>rties on Rt. 108 are</w:t>
      </w:r>
      <w:r w:rsidR="00BA2E0F" w:rsidRPr="00A25C36">
        <w:t xml:space="preserve"> </w:t>
      </w:r>
      <w:r w:rsidRPr="00A25C36">
        <w:t xml:space="preserve">currently </w:t>
      </w:r>
      <w:r w:rsidR="00AB0D35" w:rsidRPr="00A25C36">
        <w:t xml:space="preserve">fine </w:t>
      </w:r>
      <w:r w:rsidR="00C55DBA" w:rsidRPr="00A25C36">
        <w:t xml:space="preserve">in terms of </w:t>
      </w:r>
      <w:r w:rsidR="0093148F" w:rsidRPr="00A25C36">
        <w:t>zoning for small commercial development.</w:t>
      </w:r>
    </w:p>
    <w:p w:rsidR="00A25C36" w:rsidRDefault="00A25C36" w:rsidP="00610F6E">
      <w:pPr>
        <w:ind w:left="-630" w:right="-450"/>
        <w:rPr>
          <w:u w:val="single"/>
        </w:rPr>
      </w:pPr>
    </w:p>
    <w:p w:rsidR="00A25C36" w:rsidRDefault="00A25C36" w:rsidP="00610F6E">
      <w:pPr>
        <w:ind w:left="-630" w:right="-450"/>
        <w:rPr>
          <w:u w:val="single"/>
        </w:rPr>
      </w:pPr>
    </w:p>
    <w:p w:rsidR="00A25C36" w:rsidRPr="00A25C36" w:rsidRDefault="00A25C36" w:rsidP="00A2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-450"/>
      </w:pPr>
      <w:r w:rsidRPr="00A25C36">
        <w:lastRenderedPageBreak/>
        <w:t xml:space="preserve">                                                                                                       </w:t>
      </w:r>
      <w:r w:rsidRPr="00A25C36">
        <w:tab/>
      </w:r>
      <w:r w:rsidRPr="00A25C36">
        <w:tab/>
        <w:t xml:space="preserve">                                                 Draft Minutes</w:t>
      </w:r>
    </w:p>
    <w:p w:rsidR="00610F6E" w:rsidRPr="00A25C36" w:rsidRDefault="00610F6E" w:rsidP="00610F6E">
      <w:pPr>
        <w:ind w:left="-630" w:right="-450"/>
        <w:rPr>
          <w:u w:val="single"/>
        </w:rPr>
      </w:pPr>
      <w:r w:rsidRPr="00A25C36">
        <w:rPr>
          <w:u w:val="single"/>
        </w:rPr>
        <w:t>Mr</w:t>
      </w:r>
      <w:r w:rsidR="00105E6E" w:rsidRPr="00A25C36">
        <w:rPr>
          <w:u w:val="single"/>
        </w:rPr>
        <w:t xml:space="preserve">. Connery’s </w:t>
      </w:r>
      <w:r w:rsidR="00105E6E" w:rsidRPr="00A25C36">
        <w:rPr>
          <w:b/>
          <w:u w:val="single"/>
        </w:rPr>
        <w:t>Summary of Findings</w:t>
      </w:r>
      <w:r w:rsidR="00105E6E" w:rsidRPr="00A25C36">
        <w:rPr>
          <w:u w:val="single"/>
        </w:rPr>
        <w:t xml:space="preserve"> from this Report:</w:t>
      </w:r>
    </w:p>
    <w:p w:rsidR="00610F6E" w:rsidRPr="00A25C36" w:rsidRDefault="00610F6E" w:rsidP="003D38CD">
      <w:pPr>
        <w:pStyle w:val="Heading3"/>
        <w:rPr>
          <w:rFonts w:asciiTheme="minorHAnsi" w:hAnsiTheme="minorHAnsi"/>
          <w:b w:val="0"/>
          <w:sz w:val="18"/>
        </w:rPr>
      </w:pPr>
      <w:r w:rsidRPr="00A25C36">
        <w:rPr>
          <w:rFonts w:asciiTheme="minorHAnsi" w:hAnsiTheme="minorHAnsi"/>
          <w:sz w:val="18"/>
        </w:rPr>
        <w:t>Scenario 1</w:t>
      </w:r>
      <w:r w:rsidRPr="00A25C36">
        <w:rPr>
          <w:rFonts w:asciiTheme="minorHAnsi" w:hAnsiTheme="minorHAnsi"/>
          <w:b w:val="0"/>
          <w:sz w:val="18"/>
        </w:rPr>
        <w:t xml:space="preserve"> will have a strong positive annual cost to revenue ratio of 0.18 and generate a</w:t>
      </w:r>
      <w:r w:rsidR="003D38CD" w:rsidRPr="00A25C36">
        <w:rPr>
          <w:rFonts w:asciiTheme="minorHAnsi" w:hAnsiTheme="minorHAnsi"/>
          <w:b w:val="0"/>
          <w:sz w:val="18"/>
        </w:rPr>
        <w:t>n</w:t>
      </w:r>
      <w:r w:rsidRPr="00A25C36">
        <w:rPr>
          <w:rFonts w:asciiTheme="minorHAnsi" w:hAnsiTheme="minorHAnsi"/>
          <w:b w:val="0"/>
          <w:sz w:val="18"/>
        </w:rPr>
        <w:t xml:space="preserve"> annual fiscal benefit of $229,000 (current dollars)   </w:t>
      </w:r>
    </w:p>
    <w:tbl>
      <w:tblPr>
        <w:tblStyle w:val="TableGrid"/>
        <w:tblW w:w="8858" w:type="dxa"/>
        <w:tblInd w:w="-108" w:type="dxa"/>
        <w:tblCellMar>
          <w:top w:w="9" w:type="dxa"/>
          <w:left w:w="108" w:type="dxa"/>
          <w:right w:w="4" w:type="dxa"/>
        </w:tblCellMar>
        <w:tblLook w:val="04A0"/>
      </w:tblPr>
      <w:tblGrid>
        <w:gridCol w:w="1771"/>
        <w:gridCol w:w="1772"/>
        <w:gridCol w:w="1772"/>
        <w:gridCol w:w="1771"/>
        <w:gridCol w:w="1772"/>
      </w:tblGrid>
      <w:tr w:rsidR="00610F6E" w:rsidRPr="00A25C36" w:rsidTr="00CD5D63">
        <w:trPr>
          <w:trHeight w:val="83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E" w:rsidRPr="00A25C36" w:rsidRDefault="00610F6E" w:rsidP="00016B86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rFonts w:eastAsia="Times New Roman" w:cs="Times New Roman"/>
                <w:sz w:val="18"/>
              </w:rPr>
              <w:t>Scenario 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E" w:rsidRPr="00A25C36" w:rsidRDefault="00610F6E" w:rsidP="003D38CD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rFonts w:eastAsia="Times New Roman" w:cs="Times New Roman"/>
                <w:sz w:val="18"/>
              </w:rPr>
              <w:t>General</w:t>
            </w:r>
          </w:p>
          <w:p w:rsidR="00610F6E" w:rsidRPr="00A25C36" w:rsidRDefault="00610F6E" w:rsidP="003D38CD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rFonts w:eastAsia="Times New Roman" w:cs="Times New Roman"/>
                <w:sz w:val="18"/>
              </w:rPr>
              <w:t>Service Cost</w:t>
            </w:r>
          </w:p>
          <w:p w:rsidR="00610F6E" w:rsidRPr="00A25C36" w:rsidRDefault="00610F6E" w:rsidP="003D38CD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rFonts w:eastAsia="Times New Roman" w:cs="Times New Roman"/>
                <w:sz w:val="18"/>
              </w:rPr>
              <w:t>(1)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E" w:rsidRPr="00A25C36" w:rsidRDefault="00610F6E" w:rsidP="003D38CD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rFonts w:eastAsia="Times New Roman" w:cs="Times New Roman"/>
                <w:sz w:val="18"/>
              </w:rPr>
              <w:t>Annual Revenue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E" w:rsidRPr="00A25C36" w:rsidRDefault="00610F6E" w:rsidP="003D38CD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rFonts w:eastAsia="Times New Roman" w:cs="Times New Roman"/>
                <w:sz w:val="18"/>
              </w:rPr>
              <w:t>Cost to</w:t>
            </w:r>
          </w:p>
          <w:p w:rsidR="00610F6E" w:rsidRPr="00A25C36" w:rsidRDefault="00610F6E" w:rsidP="003D38CD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rFonts w:eastAsia="Times New Roman" w:cs="Times New Roman"/>
                <w:sz w:val="18"/>
              </w:rPr>
              <w:t>Revenue Ratio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E" w:rsidRPr="00A25C36" w:rsidRDefault="00610F6E" w:rsidP="003D38CD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rFonts w:eastAsia="Times New Roman" w:cs="Times New Roman"/>
                <w:sz w:val="18"/>
              </w:rPr>
              <w:t>Annual Fiscal</w:t>
            </w:r>
          </w:p>
          <w:p w:rsidR="00610F6E" w:rsidRPr="00A25C36" w:rsidRDefault="00610F6E" w:rsidP="003D38CD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rFonts w:eastAsia="Times New Roman" w:cs="Times New Roman"/>
                <w:sz w:val="18"/>
              </w:rPr>
              <w:t>Benefit</w:t>
            </w:r>
          </w:p>
        </w:tc>
      </w:tr>
      <w:tr w:rsidR="00610F6E" w:rsidRPr="00A25C36" w:rsidTr="00CD5D63">
        <w:trPr>
          <w:trHeight w:val="111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E" w:rsidRPr="00A25C36" w:rsidRDefault="00610F6E" w:rsidP="00AB7899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sz w:val="18"/>
              </w:rPr>
              <w:t>150 Residences      10,000 s</w:t>
            </w:r>
            <w:r w:rsidR="00016B86">
              <w:rPr>
                <w:sz w:val="18"/>
              </w:rPr>
              <w:t xml:space="preserve">q </w:t>
            </w:r>
            <w:r w:rsidRPr="00A25C36">
              <w:rPr>
                <w:sz w:val="18"/>
              </w:rPr>
              <w:t>f</w:t>
            </w:r>
            <w:r w:rsidR="003D38CD" w:rsidRPr="00A25C36">
              <w:rPr>
                <w:sz w:val="18"/>
              </w:rPr>
              <w:t>t</w:t>
            </w:r>
            <w:r w:rsidR="00AB7899">
              <w:rPr>
                <w:sz w:val="18"/>
              </w:rPr>
              <w:t xml:space="preserve">    C</w:t>
            </w:r>
            <w:r w:rsidRPr="00A25C36">
              <w:rPr>
                <w:sz w:val="18"/>
              </w:rPr>
              <w:t>ommercial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E" w:rsidRPr="00A25C36" w:rsidRDefault="00610F6E" w:rsidP="00AB7899">
            <w:pPr>
              <w:spacing w:line="259" w:lineRule="auto"/>
              <w:jc w:val="center"/>
              <w:rPr>
                <w:sz w:val="18"/>
              </w:rPr>
            </w:pPr>
          </w:p>
          <w:p w:rsidR="00610F6E" w:rsidRPr="00A25C36" w:rsidRDefault="00610F6E" w:rsidP="00AB7899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sz w:val="18"/>
              </w:rPr>
              <w:t>$50,000</w:t>
            </w:r>
          </w:p>
          <w:p w:rsidR="00610F6E" w:rsidRPr="00A25C36" w:rsidRDefault="00610F6E" w:rsidP="00AB7899">
            <w:pPr>
              <w:spacing w:line="259" w:lineRule="auto"/>
              <w:jc w:val="center"/>
              <w:rPr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E" w:rsidRPr="00A25C36" w:rsidRDefault="00610F6E" w:rsidP="00AB7899">
            <w:pPr>
              <w:spacing w:line="259" w:lineRule="auto"/>
              <w:jc w:val="center"/>
              <w:rPr>
                <w:sz w:val="18"/>
              </w:rPr>
            </w:pPr>
          </w:p>
          <w:p w:rsidR="00610F6E" w:rsidRPr="00A25C36" w:rsidRDefault="00610F6E" w:rsidP="00AB7899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sz w:val="18"/>
              </w:rPr>
              <w:t>$279,000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E" w:rsidRPr="00A25C36" w:rsidRDefault="00610F6E" w:rsidP="00AB7899">
            <w:pPr>
              <w:spacing w:line="259" w:lineRule="auto"/>
              <w:jc w:val="center"/>
              <w:rPr>
                <w:sz w:val="18"/>
              </w:rPr>
            </w:pPr>
          </w:p>
          <w:p w:rsidR="00610F6E" w:rsidRPr="00A25C36" w:rsidRDefault="00610F6E" w:rsidP="00AB7899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sz w:val="18"/>
              </w:rPr>
              <w:t>0.18</w:t>
            </w:r>
          </w:p>
          <w:p w:rsidR="00610F6E" w:rsidRPr="00A25C36" w:rsidRDefault="00610F6E" w:rsidP="00AB7899">
            <w:pPr>
              <w:spacing w:line="259" w:lineRule="auto"/>
              <w:jc w:val="center"/>
              <w:rPr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E" w:rsidRPr="00A25C36" w:rsidRDefault="00610F6E" w:rsidP="00AB7899">
            <w:pPr>
              <w:spacing w:line="259" w:lineRule="auto"/>
              <w:jc w:val="center"/>
              <w:rPr>
                <w:sz w:val="18"/>
              </w:rPr>
            </w:pPr>
          </w:p>
          <w:p w:rsidR="00610F6E" w:rsidRPr="00A25C36" w:rsidRDefault="00610F6E" w:rsidP="00AB7899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sz w:val="18"/>
              </w:rPr>
              <w:t>$229,000</w:t>
            </w:r>
          </w:p>
          <w:p w:rsidR="00610F6E" w:rsidRPr="00A25C36" w:rsidRDefault="00610F6E" w:rsidP="00AB7899">
            <w:pPr>
              <w:spacing w:line="259" w:lineRule="auto"/>
              <w:jc w:val="center"/>
              <w:rPr>
                <w:sz w:val="18"/>
              </w:rPr>
            </w:pPr>
          </w:p>
        </w:tc>
      </w:tr>
    </w:tbl>
    <w:p w:rsidR="00610F6E" w:rsidRPr="00A25C36" w:rsidRDefault="00610F6E" w:rsidP="003D38CD">
      <w:pPr>
        <w:ind w:left="-5"/>
        <w:rPr>
          <w:sz w:val="18"/>
        </w:rPr>
      </w:pPr>
      <w:r w:rsidRPr="00A25C36">
        <w:rPr>
          <w:sz w:val="18"/>
        </w:rPr>
        <w:t xml:space="preserve">(1) Combined police and fire and ambulance service costs.  </w:t>
      </w:r>
    </w:p>
    <w:p w:rsidR="00610F6E" w:rsidRPr="00A25C36" w:rsidRDefault="00610F6E" w:rsidP="00610F6E">
      <w:pPr>
        <w:spacing w:after="0" w:line="259" w:lineRule="auto"/>
        <w:rPr>
          <w:sz w:val="18"/>
        </w:rPr>
      </w:pPr>
      <w:r w:rsidRPr="00A25C36">
        <w:rPr>
          <w:rFonts w:eastAsia="Times New Roman" w:cs="Times New Roman"/>
          <w:sz w:val="18"/>
        </w:rPr>
        <w:t xml:space="preserve">  </w:t>
      </w:r>
    </w:p>
    <w:p w:rsidR="00610F6E" w:rsidRPr="00A25C36" w:rsidRDefault="00610F6E" w:rsidP="007B796D">
      <w:pPr>
        <w:rPr>
          <w:sz w:val="18"/>
        </w:rPr>
      </w:pPr>
      <w:r w:rsidRPr="00A25C36">
        <w:rPr>
          <w:b/>
          <w:sz w:val="18"/>
        </w:rPr>
        <w:t>Scenario 2</w:t>
      </w:r>
      <w:r w:rsidRPr="00A25C36">
        <w:rPr>
          <w:sz w:val="18"/>
        </w:rPr>
        <w:t xml:space="preserve"> will also have a strong positive fiscal profile</w:t>
      </w:r>
      <w:r w:rsidR="00016B86">
        <w:rPr>
          <w:sz w:val="18"/>
        </w:rPr>
        <w:t>,</w:t>
      </w:r>
      <w:r w:rsidRPr="00A25C36">
        <w:rPr>
          <w:sz w:val="18"/>
        </w:rPr>
        <w:t xml:space="preserve"> but due to the smaller scale of development</w:t>
      </w:r>
      <w:r w:rsidR="00016B86">
        <w:rPr>
          <w:sz w:val="18"/>
        </w:rPr>
        <w:t>,</w:t>
      </w:r>
      <w:r w:rsidRPr="00A25C36">
        <w:rPr>
          <w:sz w:val="18"/>
        </w:rPr>
        <w:t xml:space="preserve"> it will generate a </w:t>
      </w:r>
      <w:r w:rsidR="00016B86">
        <w:rPr>
          <w:sz w:val="18"/>
        </w:rPr>
        <w:t xml:space="preserve">      </w:t>
      </w:r>
      <w:r w:rsidRPr="00A25C36">
        <w:rPr>
          <w:sz w:val="18"/>
        </w:rPr>
        <w:t>sm</w:t>
      </w:r>
      <w:r w:rsidR="003D38CD" w:rsidRPr="00A25C36">
        <w:rPr>
          <w:sz w:val="18"/>
        </w:rPr>
        <w:t>aller annual fiscal benefit of</w:t>
      </w:r>
      <w:r w:rsidRPr="00A25C36">
        <w:rPr>
          <w:sz w:val="18"/>
        </w:rPr>
        <w:t xml:space="preserve"> $103,000.  </w:t>
      </w:r>
    </w:p>
    <w:tbl>
      <w:tblPr>
        <w:tblStyle w:val="TableGrid"/>
        <w:tblW w:w="8841" w:type="dxa"/>
        <w:tblInd w:w="-108" w:type="dxa"/>
        <w:tblCellMar>
          <w:top w:w="7" w:type="dxa"/>
          <w:left w:w="108" w:type="dxa"/>
          <w:right w:w="4" w:type="dxa"/>
        </w:tblCellMar>
        <w:tblLook w:val="04A0"/>
      </w:tblPr>
      <w:tblGrid>
        <w:gridCol w:w="1772"/>
        <w:gridCol w:w="1757"/>
        <w:gridCol w:w="1800"/>
        <w:gridCol w:w="1800"/>
        <w:gridCol w:w="1712"/>
      </w:tblGrid>
      <w:tr w:rsidR="00610F6E" w:rsidRPr="00A25C36" w:rsidTr="00CD5D63">
        <w:trPr>
          <w:trHeight w:val="56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E" w:rsidRPr="00A25C36" w:rsidRDefault="00610F6E" w:rsidP="00016B86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rFonts w:eastAsia="Times New Roman" w:cs="Times New Roman"/>
                <w:sz w:val="18"/>
              </w:rPr>
              <w:t>Scenario 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E" w:rsidRPr="00A25C36" w:rsidRDefault="00610F6E" w:rsidP="00016B86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rFonts w:eastAsia="Times New Roman" w:cs="Times New Roman"/>
                <w:sz w:val="18"/>
              </w:rPr>
              <w:t>General Service Cost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E" w:rsidRPr="00A25C36" w:rsidRDefault="00610F6E" w:rsidP="00016B86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rFonts w:eastAsia="Times New Roman" w:cs="Times New Roman"/>
                <w:sz w:val="18"/>
              </w:rPr>
              <w:t>Annual Revenue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E" w:rsidRPr="00A25C36" w:rsidRDefault="00610F6E" w:rsidP="00016B86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rFonts w:eastAsia="Times New Roman" w:cs="Times New Roman"/>
                <w:sz w:val="18"/>
              </w:rPr>
              <w:t>Cost to</w:t>
            </w:r>
          </w:p>
          <w:p w:rsidR="00610F6E" w:rsidRPr="00A25C36" w:rsidRDefault="00610F6E" w:rsidP="00016B86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rFonts w:eastAsia="Times New Roman" w:cs="Times New Roman"/>
                <w:sz w:val="18"/>
              </w:rPr>
              <w:t>Revenue Ratio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E" w:rsidRPr="00A25C36" w:rsidRDefault="00610F6E" w:rsidP="00016B86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rFonts w:eastAsia="Times New Roman" w:cs="Times New Roman"/>
                <w:sz w:val="18"/>
              </w:rPr>
              <w:t>Annual Fiscal</w:t>
            </w:r>
          </w:p>
          <w:p w:rsidR="00610F6E" w:rsidRPr="00A25C36" w:rsidRDefault="00610F6E" w:rsidP="00016B86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rFonts w:eastAsia="Times New Roman" w:cs="Times New Roman"/>
                <w:sz w:val="18"/>
              </w:rPr>
              <w:t>Benefit</w:t>
            </w:r>
          </w:p>
        </w:tc>
      </w:tr>
      <w:tr w:rsidR="00610F6E" w:rsidRPr="00A25C36" w:rsidTr="00CD5D63">
        <w:trPr>
          <w:trHeight w:val="83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899" w:rsidRDefault="00AB7899" w:rsidP="00AB7899">
            <w:pPr>
              <w:spacing w:line="259" w:lineRule="auto"/>
              <w:jc w:val="center"/>
              <w:rPr>
                <w:sz w:val="18"/>
              </w:rPr>
            </w:pPr>
          </w:p>
          <w:p w:rsidR="00610F6E" w:rsidRPr="00A25C36" w:rsidRDefault="00610F6E" w:rsidP="00AB7899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sz w:val="18"/>
              </w:rPr>
              <w:t>75</w:t>
            </w:r>
            <w:r w:rsidR="00AB7899">
              <w:rPr>
                <w:sz w:val="18"/>
              </w:rPr>
              <w:t xml:space="preserve"> </w:t>
            </w:r>
            <w:r w:rsidRPr="00A25C36">
              <w:rPr>
                <w:sz w:val="18"/>
              </w:rPr>
              <w:t>Residences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E" w:rsidRPr="00A25C36" w:rsidRDefault="00610F6E" w:rsidP="00016B86">
            <w:pPr>
              <w:spacing w:line="259" w:lineRule="auto"/>
              <w:jc w:val="center"/>
              <w:rPr>
                <w:sz w:val="18"/>
              </w:rPr>
            </w:pPr>
          </w:p>
          <w:p w:rsidR="00610F6E" w:rsidRPr="00A25C36" w:rsidRDefault="00610F6E" w:rsidP="00AB7899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sz w:val="18"/>
              </w:rPr>
              <w:t>$25,000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E" w:rsidRPr="00A25C36" w:rsidRDefault="00610F6E" w:rsidP="00016B86">
            <w:pPr>
              <w:spacing w:line="259" w:lineRule="auto"/>
              <w:jc w:val="center"/>
              <w:rPr>
                <w:sz w:val="18"/>
              </w:rPr>
            </w:pPr>
          </w:p>
          <w:p w:rsidR="00610F6E" w:rsidRPr="00A25C36" w:rsidRDefault="00610F6E" w:rsidP="00016B86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sz w:val="18"/>
              </w:rPr>
              <w:t>$128,000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E" w:rsidRPr="00A25C36" w:rsidRDefault="00610F6E" w:rsidP="00016B86">
            <w:pPr>
              <w:spacing w:line="259" w:lineRule="auto"/>
              <w:jc w:val="center"/>
              <w:rPr>
                <w:sz w:val="18"/>
              </w:rPr>
            </w:pPr>
          </w:p>
          <w:p w:rsidR="00610F6E" w:rsidRPr="00A25C36" w:rsidRDefault="00610F6E" w:rsidP="00AB7899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sz w:val="18"/>
              </w:rPr>
              <w:t>0.20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6E" w:rsidRPr="00A25C36" w:rsidRDefault="00610F6E" w:rsidP="00016B86">
            <w:pPr>
              <w:spacing w:line="259" w:lineRule="auto"/>
              <w:jc w:val="center"/>
              <w:rPr>
                <w:sz w:val="18"/>
              </w:rPr>
            </w:pPr>
          </w:p>
          <w:p w:rsidR="00610F6E" w:rsidRPr="00A25C36" w:rsidRDefault="00610F6E" w:rsidP="00AB7899">
            <w:pPr>
              <w:spacing w:line="259" w:lineRule="auto"/>
              <w:jc w:val="center"/>
              <w:rPr>
                <w:sz w:val="18"/>
              </w:rPr>
            </w:pPr>
            <w:r w:rsidRPr="00A25C36">
              <w:rPr>
                <w:sz w:val="18"/>
              </w:rPr>
              <w:t>$103,000</w:t>
            </w:r>
          </w:p>
        </w:tc>
      </w:tr>
    </w:tbl>
    <w:p w:rsidR="00610F6E" w:rsidRPr="00A25C36" w:rsidRDefault="00610F6E" w:rsidP="00F32987">
      <w:pPr>
        <w:ind w:left="-630" w:right="-450"/>
      </w:pPr>
    </w:p>
    <w:p w:rsidR="0093148F" w:rsidRPr="00A25C36" w:rsidRDefault="0093148F" w:rsidP="0093148F">
      <w:pPr>
        <w:ind w:left="-630" w:right="-450"/>
        <w:rPr>
          <w:rFonts w:ascii="Calibri" w:hAnsi="Calibri"/>
        </w:rPr>
      </w:pPr>
      <w:r w:rsidRPr="00A25C36">
        <w:rPr>
          <w:rFonts w:ascii="Calibri" w:hAnsi="Calibri"/>
          <w:u w:val="single"/>
        </w:rPr>
        <w:t>Public Comment</w:t>
      </w:r>
      <w:r w:rsidRPr="00A25C36">
        <w:rPr>
          <w:rFonts w:ascii="Calibri" w:hAnsi="Calibri"/>
        </w:rPr>
        <w:t xml:space="preserve">: Rose-Anne Kwaks had several </w:t>
      </w:r>
      <w:r w:rsidR="00C55DBA" w:rsidRPr="00A25C36">
        <w:rPr>
          <w:rFonts w:ascii="Calibri" w:hAnsi="Calibri"/>
        </w:rPr>
        <w:t xml:space="preserve">very good </w:t>
      </w:r>
      <w:r w:rsidRPr="00A25C36">
        <w:rPr>
          <w:rFonts w:ascii="Calibri" w:hAnsi="Calibri"/>
        </w:rPr>
        <w:t>questions</w:t>
      </w:r>
      <w:r w:rsidR="007B583C" w:rsidRPr="00A25C36">
        <w:rPr>
          <w:rFonts w:ascii="Calibri" w:hAnsi="Calibri"/>
        </w:rPr>
        <w:t>/concerns about</w:t>
      </w:r>
      <w:r w:rsidRPr="00A25C36">
        <w:rPr>
          <w:rFonts w:ascii="Calibri" w:hAnsi="Calibri"/>
        </w:rPr>
        <w:t xml:space="preserve"> the Fiscal Impact Analysis</w:t>
      </w:r>
      <w:r w:rsidR="00335B74" w:rsidRPr="00A25C36">
        <w:rPr>
          <w:rFonts w:ascii="Calibri" w:hAnsi="Calibri"/>
        </w:rPr>
        <w:t xml:space="preserve">. </w:t>
      </w:r>
      <w:r w:rsidR="00016B86">
        <w:rPr>
          <w:rFonts w:ascii="Calibri" w:hAnsi="Calibri"/>
        </w:rPr>
        <w:t xml:space="preserve">For those questions that were </w:t>
      </w:r>
      <w:r w:rsidR="00AB7899">
        <w:rPr>
          <w:rFonts w:ascii="Calibri" w:hAnsi="Calibri"/>
        </w:rPr>
        <w:t>not readily</w:t>
      </w:r>
      <w:r w:rsidR="00016B86">
        <w:rPr>
          <w:rFonts w:ascii="Calibri" w:hAnsi="Calibri"/>
        </w:rPr>
        <w:t xml:space="preserve"> answered by the EDC or Mr. Connery, </w:t>
      </w:r>
      <w:r w:rsidR="00335B74" w:rsidRPr="00A25C36">
        <w:rPr>
          <w:rFonts w:ascii="Calibri" w:hAnsi="Calibri"/>
        </w:rPr>
        <w:t>Gary Levy suggested that s</w:t>
      </w:r>
      <w:r w:rsidR="00F02A38" w:rsidRPr="00A25C36">
        <w:rPr>
          <w:rFonts w:ascii="Calibri" w:hAnsi="Calibri"/>
        </w:rPr>
        <w:t>he send her list of questions to Steve Fournier</w:t>
      </w:r>
      <w:r w:rsidR="00AB7899">
        <w:rPr>
          <w:rFonts w:ascii="Calibri" w:hAnsi="Calibri"/>
        </w:rPr>
        <w:t xml:space="preserve"> (</w:t>
      </w:r>
      <w:r w:rsidR="00F02A38" w:rsidRPr="00A25C36">
        <w:rPr>
          <w:rFonts w:ascii="Calibri" w:hAnsi="Calibri"/>
        </w:rPr>
        <w:t xml:space="preserve">with </w:t>
      </w:r>
      <w:r w:rsidR="00335B74" w:rsidRPr="00A25C36">
        <w:rPr>
          <w:rFonts w:ascii="Calibri" w:hAnsi="Calibri"/>
        </w:rPr>
        <w:t>copies</w:t>
      </w:r>
      <w:r w:rsidR="00F02A38" w:rsidRPr="00A25C36">
        <w:rPr>
          <w:rFonts w:ascii="Calibri" w:hAnsi="Calibri"/>
        </w:rPr>
        <w:t xml:space="preserve"> to the EDC</w:t>
      </w:r>
      <w:r w:rsidR="00AB7899">
        <w:rPr>
          <w:rFonts w:ascii="Calibri" w:hAnsi="Calibri"/>
        </w:rPr>
        <w:t>)</w:t>
      </w:r>
      <w:r w:rsidR="00F02A38" w:rsidRPr="00A25C36">
        <w:rPr>
          <w:rFonts w:ascii="Calibri" w:hAnsi="Calibri"/>
        </w:rPr>
        <w:t>.  Mr. Connery will then address the</w:t>
      </w:r>
      <w:r w:rsidR="00335B74" w:rsidRPr="00A25C36">
        <w:rPr>
          <w:rFonts w:ascii="Calibri" w:hAnsi="Calibri"/>
        </w:rPr>
        <w:t>se</w:t>
      </w:r>
      <w:r w:rsidR="00F02A38" w:rsidRPr="00A25C36">
        <w:rPr>
          <w:rFonts w:ascii="Calibri" w:hAnsi="Calibri"/>
        </w:rPr>
        <w:t xml:space="preserve"> </w:t>
      </w:r>
      <w:r w:rsidR="00016B86">
        <w:rPr>
          <w:rFonts w:ascii="Calibri" w:hAnsi="Calibri"/>
        </w:rPr>
        <w:t>questions/concerns</w:t>
      </w:r>
      <w:r w:rsidR="00AB7899">
        <w:rPr>
          <w:rFonts w:ascii="Calibri" w:hAnsi="Calibri"/>
        </w:rPr>
        <w:t xml:space="preserve"> at the next meeting.</w:t>
      </w:r>
    </w:p>
    <w:p w:rsidR="0093148F" w:rsidRPr="00A25C36" w:rsidRDefault="0093148F" w:rsidP="008817DF">
      <w:pPr>
        <w:ind w:left="-630" w:right="-450"/>
      </w:pPr>
      <w:r w:rsidRPr="00A25C36">
        <w:rPr>
          <w:u w:val="single"/>
        </w:rPr>
        <w:t>Next Meeting</w:t>
      </w:r>
      <w:r w:rsidRPr="00A25C36">
        <w:t xml:space="preserve">: </w:t>
      </w:r>
    </w:p>
    <w:p w:rsidR="00335B74" w:rsidRPr="00A25C36" w:rsidRDefault="00E75ABF" w:rsidP="00335B74">
      <w:pPr>
        <w:pStyle w:val="ListParagraph"/>
        <w:numPr>
          <w:ilvl w:val="0"/>
          <w:numId w:val="3"/>
        </w:numPr>
        <w:ind w:right="-450"/>
      </w:pPr>
      <w:r w:rsidRPr="00A25C36">
        <w:t>Mr. Connery will return for the next meeting with sp</w:t>
      </w:r>
      <w:r w:rsidR="007B583C" w:rsidRPr="00A25C36">
        <w:t xml:space="preserve">ecific </w:t>
      </w:r>
      <w:r w:rsidR="00A25C36" w:rsidRPr="00A25C36">
        <w:t xml:space="preserve">overlay and </w:t>
      </w:r>
      <w:r w:rsidR="007B583C" w:rsidRPr="00A25C36">
        <w:t xml:space="preserve">zoning recommendations. </w:t>
      </w:r>
      <w:r w:rsidR="00335B74" w:rsidRPr="00A25C36">
        <w:t xml:space="preserve">He will </w:t>
      </w:r>
      <w:r w:rsidR="00A25C36" w:rsidRPr="00A25C36">
        <w:t>determine</w:t>
      </w:r>
      <w:r w:rsidR="00335B74" w:rsidRPr="00A25C36">
        <w:t xml:space="preserve"> his recommendations after discussions with both Steve Fournier and Diane Hardy. </w:t>
      </w:r>
    </w:p>
    <w:p w:rsidR="00335B74" w:rsidRPr="00A25C36" w:rsidRDefault="00335B74" w:rsidP="006A4BCB">
      <w:pPr>
        <w:pStyle w:val="ListParagraph"/>
        <w:numPr>
          <w:ilvl w:val="0"/>
          <w:numId w:val="3"/>
        </w:numPr>
        <w:ind w:right="-450"/>
      </w:pPr>
      <w:r w:rsidRPr="00A25C36">
        <w:t xml:space="preserve">The EDC is encouraged to send any questions of matters that they wish Mr. Connery to address in more </w:t>
      </w:r>
      <w:r w:rsidR="00AB7899">
        <w:t>depth</w:t>
      </w:r>
      <w:r w:rsidRPr="00A25C36">
        <w:t xml:space="preserve"> to Steve Fournier. He will see that Mr. Connery receives the</w:t>
      </w:r>
      <w:r w:rsidR="00AB7899">
        <w:t>se</w:t>
      </w:r>
      <w:r w:rsidRPr="00A25C36">
        <w:t xml:space="preserve"> questions for discussion at the next meeting.</w:t>
      </w:r>
    </w:p>
    <w:p w:rsidR="00F32987" w:rsidRPr="00A25C36" w:rsidRDefault="00E75ABF" w:rsidP="006A4BCB">
      <w:pPr>
        <w:pStyle w:val="ListParagraph"/>
        <w:numPr>
          <w:ilvl w:val="0"/>
          <w:numId w:val="3"/>
        </w:numPr>
        <w:ind w:right="-450"/>
      </w:pPr>
      <w:r w:rsidRPr="00A25C36">
        <w:t xml:space="preserve">Steve Fournier will see that the meetings for the EDC are noted on the town calendar and will also see that Mr. Connery’s </w:t>
      </w:r>
      <w:r w:rsidR="00105E6E" w:rsidRPr="00A25C36">
        <w:rPr>
          <w:u w:val="single"/>
        </w:rPr>
        <w:t>Fiscal Impact Analysis</w:t>
      </w:r>
      <w:r w:rsidRPr="00A25C36">
        <w:t xml:space="preserve"> </w:t>
      </w:r>
      <w:r w:rsidR="007D5E99" w:rsidRPr="00A25C36">
        <w:t>dated</w:t>
      </w:r>
      <w:r w:rsidRPr="00A25C36">
        <w:t xml:space="preserve"> February 10, 2015 is </w:t>
      </w:r>
      <w:r w:rsidR="00105E6E" w:rsidRPr="00A25C36">
        <w:t>posted</w:t>
      </w:r>
      <w:r w:rsidRPr="00A25C36">
        <w:t xml:space="preserve"> online.</w:t>
      </w:r>
    </w:p>
    <w:p w:rsidR="00F32987" w:rsidRPr="00A25C36" w:rsidRDefault="00F32987" w:rsidP="00F32987">
      <w:pPr>
        <w:ind w:left="-630" w:right="-450"/>
      </w:pPr>
      <w:r w:rsidRPr="00A25C36">
        <w:rPr>
          <w:u w:val="single"/>
        </w:rPr>
        <w:t>Adjournment</w:t>
      </w:r>
      <w:r w:rsidRPr="00A25C36">
        <w:t xml:space="preserve">: </w:t>
      </w:r>
      <w:r w:rsidR="00610F6E" w:rsidRPr="00A25C36">
        <w:t xml:space="preserve"> </w:t>
      </w:r>
    </w:p>
    <w:p w:rsidR="0023443F" w:rsidRPr="00A25C36" w:rsidRDefault="0023443F" w:rsidP="0023443F">
      <w:pPr>
        <w:pStyle w:val="ListParagraph"/>
        <w:tabs>
          <w:tab w:val="left" w:pos="3124"/>
          <w:tab w:val="center" w:pos="4770"/>
        </w:tabs>
        <w:ind w:left="-270" w:right="-450"/>
        <w:rPr>
          <w:b/>
        </w:rPr>
      </w:pPr>
      <w:r w:rsidRPr="00A25C36">
        <w:rPr>
          <w:b/>
        </w:rPr>
        <w:tab/>
        <w:t>ACTION</w:t>
      </w:r>
    </w:p>
    <w:p w:rsidR="0023443F" w:rsidRPr="00A25C36" w:rsidRDefault="0023443F" w:rsidP="0023443F">
      <w:pPr>
        <w:pStyle w:val="ListParagraph"/>
        <w:ind w:left="2160" w:hanging="858"/>
      </w:pPr>
      <w:bookmarkStart w:id="0" w:name="_GoBack"/>
      <w:bookmarkEnd w:id="0"/>
      <w:r w:rsidRPr="00A25C36">
        <w:t xml:space="preserve">Motion: </w:t>
      </w:r>
      <w:r w:rsidRPr="00A25C36">
        <w:tab/>
      </w:r>
      <w:r w:rsidRPr="00A25C36">
        <w:rPr>
          <w:b/>
        </w:rPr>
        <w:t xml:space="preserve">Philip Nazzaro </w:t>
      </w:r>
      <w:r w:rsidRPr="00A25C36">
        <w:t>moved to adjourn the meeting</w:t>
      </w:r>
    </w:p>
    <w:p w:rsidR="007D5E99" w:rsidRPr="00A25C36" w:rsidRDefault="0023443F" w:rsidP="0023443F">
      <w:pPr>
        <w:pStyle w:val="ListParagraph"/>
        <w:ind w:left="-270"/>
      </w:pPr>
      <w:r w:rsidRPr="00A25C36">
        <w:t xml:space="preserve">                               </w:t>
      </w:r>
      <w:r w:rsidR="00AB7899">
        <w:t xml:space="preserve"> </w:t>
      </w:r>
      <w:r w:rsidRPr="00A25C36">
        <w:t>Second:</w:t>
      </w:r>
      <w:r w:rsidRPr="00A25C36">
        <w:tab/>
      </w:r>
      <w:r w:rsidR="00AB7899">
        <w:t xml:space="preserve">Unanimous </w:t>
      </w:r>
    </w:p>
    <w:p w:rsidR="0023443F" w:rsidRPr="00A25C36" w:rsidRDefault="0023443F" w:rsidP="0023443F">
      <w:pPr>
        <w:pStyle w:val="ListParagraph"/>
        <w:ind w:left="-270"/>
      </w:pPr>
      <w:r w:rsidRPr="00A25C36">
        <w:t xml:space="preserve">                                Vote: </w:t>
      </w:r>
      <w:r w:rsidRPr="00A25C36">
        <w:tab/>
        <w:t xml:space="preserve">Unanimously approved </w:t>
      </w:r>
      <w:r w:rsidR="0093148F" w:rsidRPr="00A25C36">
        <w:t>6</w:t>
      </w:r>
      <w:r w:rsidRPr="00A25C36">
        <w:t>-0-0</w:t>
      </w:r>
    </w:p>
    <w:p w:rsidR="00E75ABF" w:rsidRPr="00A25C36" w:rsidRDefault="00E75ABF" w:rsidP="00E75ABF">
      <w:pPr>
        <w:ind w:left="-630" w:right="-450"/>
        <w:jc w:val="center"/>
      </w:pPr>
      <w:r w:rsidRPr="00A25C36">
        <w:t>The meeting was adjourned at 7:01 PM.</w:t>
      </w:r>
    </w:p>
    <w:p w:rsidR="00F32987" w:rsidRPr="00A25C36" w:rsidRDefault="00F32987" w:rsidP="00422C71">
      <w:pPr>
        <w:ind w:left="-630" w:right="-450"/>
        <w:jc w:val="center"/>
      </w:pPr>
      <w:r w:rsidRPr="00A25C36">
        <w:t>The next meeting</w:t>
      </w:r>
      <w:r w:rsidR="00422C71" w:rsidRPr="00A25C36">
        <w:t xml:space="preserve"> is scheduled to March 26, 2015</w:t>
      </w:r>
    </w:p>
    <w:p w:rsidR="003D38CD" w:rsidRPr="00A25C36" w:rsidRDefault="00422C71" w:rsidP="003D38CD">
      <w:pPr>
        <w:ind w:left="-630" w:right="-450"/>
      </w:pPr>
      <w:r w:rsidRPr="00A25C36">
        <w:t>Respectfully submitted,</w:t>
      </w:r>
    </w:p>
    <w:p w:rsidR="00422C71" w:rsidRPr="00A25C36" w:rsidRDefault="00422C71" w:rsidP="00F32987">
      <w:pPr>
        <w:ind w:left="-630" w:right="-450"/>
      </w:pPr>
      <w:r w:rsidRPr="00A25C36">
        <w:t>Sue Frick, Recording Secretary</w:t>
      </w:r>
    </w:p>
    <w:sectPr w:rsidR="00422C71" w:rsidRPr="00A25C36" w:rsidSect="003D38CD">
      <w:footerReference w:type="default" r:id="rId8"/>
      <w:pgSz w:w="12240" w:h="15840"/>
      <w:pgMar w:top="540" w:right="1440" w:bottom="1440" w:left="1440" w:header="720" w:footer="2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FF" w:rsidRDefault="00D622FF" w:rsidP="00610F6E">
      <w:pPr>
        <w:spacing w:after="0" w:line="240" w:lineRule="auto"/>
      </w:pPr>
      <w:r>
        <w:separator/>
      </w:r>
    </w:p>
  </w:endnote>
  <w:endnote w:type="continuationSeparator" w:id="0">
    <w:p w:rsidR="00D622FF" w:rsidRDefault="00D622FF" w:rsidP="0061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927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0F6E" w:rsidRDefault="005E6720">
        <w:pPr>
          <w:pStyle w:val="Footer"/>
          <w:jc w:val="right"/>
        </w:pPr>
        <w:r>
          <w:fldChar w:fldCharType="begin"/>
        </w:r>
        <w:r w:rsidR="00610F6E">
          <w:instrText xml:space="preserve"> PAGE   \* MERGEFORMAT </w:instrText>
        </w:r>
        <w:r>
          <w:fldChar w:fldCharType="separate"/>
        </w:r>
        <w:r w:rsidR="00D909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0F6E" w:rsidRDefault="00610F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FF" w:rsidRDefault="00D622FF" w:rsidP="00610F6E">
      <w:pPr>
        <w:spacing w:after="0" w:line="240" w:lineRule="auto"/>
      </w:pPr>
      <w:r>
        <w:separator/>
      </w:r>
    </w:p>
  </w:footnote>
  <w:footnote w:type="continuationSeparator" w:id="0">
    <w:p w:rsidR="00D622FF" w:rsidRDefault="00D622FF" w:rsidP="00610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70AFA"/>
    <w:multiLevelType w:val="hybridMultilevel"/>
    <w:tmpl w:val="23D27E7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6A7F59EC"/>
    <w:multiLevelType w:val="hybridMultilevel"/>
    <w:tmpl w:val="54662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F77A09"/>
    <w:multiLevelType w:val="hybridMultilevel"/>
    <w:tmpl w:val="492A4B8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2987"/>
    <w:rsid w:val="00016B86"/>
    <w:rsid w:val="00105E6E"/>
    <w:rsid w:val="0014286A"/>
    <w:rsid w:val="0022471C"/>
    <w:rsid w:val="0023443F"/>
    <w:rsid w:val="002F7EF7"/>
    <w:rsid w:val="00335B74"/>
    <w:rsid w:val="003D38CD"/>
    <w:rsid w:val="003E5058"/>
    <w:rsid w:val="00422C71"/>
    <w:rsid w:val="004C3EF6"/>
    <w:rsid w:val="005E6720"/>
    <w:rsid w:val="00610F6E"/>
    <w:rsid w:val="006A0904"/>
    <w:rsid w:val="007501A0"/>
    <w:rsid w:val="007B583C"/>
    <w:rsid w:val="007B796D"/>
    <w:rsid w:val="007D4102"/>
    <w:rsid w:val="007D5E99"/>
    <w:rsid w:val="008534D1"/>
    <w:rsid w:val="008817DF"/>
    <w:rsid w:val="008939CF"/>
    <w:rsid w:val="009036FC"/>
    <w:rsid w:val="0093148F"/>
    <w:rsid w:val="00A25C36"/>
    <w:rsid w:val="00A874B7"/>
    <w:rsid w:val="00AB0D35"/>
    <w:rsid w:val="00AB7899"/>
    <w:rsid w:val="00B97CE3"/>
    <w:rsid w:val="00BA2E0F"/>
    <w:rsid w:val="00C55DBA"/>
    <w:rsid w:val="00CF30DB"/>
    <w:rsid w:val="00D622FF"/>
    <w:rsid w:val="00D909FC"/>
    <w:rsid w:val="00E71C6C"/>
    <w:rsid w:val="00E75ABF"/>
    <w:rsid w:val="00F02A38"/>
    <w:rsid w:val="00F3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87"/>
    <w:pPr>
      <w:spacing w:line="252" w:lineRule="auto"/>
    </w:pPr>
  </w:style>
  <w:style w:type="paragraph" w:styleId="Heading3">
    <w:name w:val="heading 3"/>
    <w:next w:val="Normal"/>
    <w:link w:val="Heading3Char"/>
    <w:uiPriority w:val="9"/>
    <w:unhideWhenUsed/>
    <w:qFormat/>
    <w:rsid w:val="00610F6E"/>
    <w:pPr>
      <w:keepNext/>
      <w:keepLines/>
      <w:spacing w:after="7" w:line="248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0F6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10F6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F6E"/>
  </w:style>
  <w:style w:type="paragraph" w:styleId="Footer">
    <w:name w:val="footer"/>
    <w:basedOn w:val="Normal"/>
    <w:link w:val="FooterChar"/>
    <w:uiPriority w:val="99"/>
    <w:unhideWhenUsed/>
    <w:rsid w:val="0061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6E"/>
  </w:style>
  <w:style w:type="paragraph" w:styleId="ListParagraph">
    <w:name w:val="List Paragraph"/>
    <w:basedOn w:val="Normal"/>
    <w:uiPriority w:val="34"/>
    <w:qFormat/>
    <w:rsid w:val="00610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5832F-984D-48A1-8422-C4479513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Frick</dc:creator>
  <cp:lastModifiedBy>kathy</cp:lastModifiedBy>
  <cp:revision>2</cp:revision>
  <cp:lastPrinted>2015-03-17T17:40:00Z</cp:lastPrinted>
  <dcterms:created xsi:type="dcterms:W3CDTF">2015-03-17T18:16:00Z</dcterms:created>
  <dcterms:modified xsi:type="dcterms:W3CDTF">2015-03-17T18:16:00Z</dcterms:modified>
</cp:coreProperties>
</file>